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76" w:lineRule="auto"/>
        <w:jc w:val="left"/>
      </w:pPr>
      <w:r>
        <w:rPr>
          <w:rFonts w:ascii="Cambria" w:hAnsi="Cambria" w:cs="Cambria"/>
          <w:b/>
          <w:color w:val="3A2A1F"/>
          <w:sz w:val="26"/>
          <w:szCs w:val="26"/>
          <w:spacing w:val="20"/>
        </w:rPr>
        <w:t xml:space="preserve">DEFREITAS</w:t>
      </w:r>
    </w:p>
    <w:p>
      <w:pPr>
        <w:spacing w:before="0" w:after="240" w:line="276" w:lineRule="auto"/>
        <w:jc w:val="left"/>
      </w:pPr>
      <w:r>
        <w:rPr>
          <w:rFonts w:ascii="Consolas" w:hAnsi="Consolas" w:cs="Consolas"/>
          <w:color w:val="8B6449"/>
          <w:sz w:val="14"/>
          <w:szCs w:val="14"/>
          <w:spacing w:val="30"/>
        </w:rPr>
        <w:t xml:space="preserve">IMÓVEIS PRÓPRIOS  ·  CONTRATO Nº 02/2026</w:t>
      </w:r>
    </w:p>
    <w:p>
      <w:pPr>
        <w:spacing w:before="120" w:after="280" w:line="276" w:lineRule="auto"/>
        <w:jc w:val="center"/>
      </w:pPr>
      <w:r>
        <w:rPr>
          <w:rFonts w:ascii="Cambria" w:hAnsi="Cambria" w:cs="Cambria"/>
          <w:b/>
          <w:color w:val="3A2A1F"/>
          <w:sz w:val="30"/>
          <w:szCs w:val="30"/>
        </w:rPr>
        <w:t xml:space="preserve">CONTRATO DE LOCAÇÃO DE IMÓVEL NÃO RESIDENCIAL</w:t>
      </w:r>
    </w:p>
    <w:tbl>
      <w:tblPr>
        <w:tblW w:w="9638" w:type="dxa"/>
        <w:tblBorders>
          <w:top w:val="single" w:sz="4" w:space="0" w:color="D9D3C8"/>
          <w:bottom w:val="single" w:sz="4" w:space="0" w:color="D9D3C8"/>
          <w:insideH w:val="single" w:sz="4" w:space="0" w:color="D9D3C8"/>
        </w:tblBorders>
        <w:tblLayout w:type="fixed"/>
        <w:tblCellMar>
          <w:top w:w="90" w:type="dxa"/>
          <w:bottom w:w="90" w:type="dxa"/>
          <w:left w:w="0" w:type="dxa"/>
          <w:right w:w="160" w:type="dxa"/>
        </w:tblCellMar>
      </w:tblPr>
      <w:tblGrid>
        <w:gridCol w:w="2948"/>
        <w:gridCol w:w="6690"/>
      </w:tblGrid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LOCADORA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Defreitas Compra, Venda, Incorporação e Locação de Bens Imóveis Próprios Ltda — CNPJ 11.435.163/0001-13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REPRESENTANTE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Heitor de Freitas Froes — CPF 124.558.106-66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ENDEREÇO PARA NOTIFICAÇÕES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Rua Doutor Walter Ferreira Barreto, nº 525, Bairro Ibituruna, Montes Claros/MG, CEP 39.401-347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E-MAIL DA LOCADORA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hffroes@gmail.com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LOCATÁRIA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Turano Construtora Ltda — CNPJ 12.575.065/0001-44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ENDEREÇO DA LOCATÁRIA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Av. Doutor José Corrêa Machado, nº 1079, Bloco C, 1º andar, Sala 102, Montes Claros/MG, CEP 39.401-832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REPRESENTANTE DA LOCATÁRIA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Guilherme Trindade Turano — CPF 011.689.716-23 — RG MG 615819613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TELEFONE DA LOCATÁRIA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(38) 98411-5441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FIADOR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Guilherme Trindade Turano — CPF 011.689.716-23 — RG MG 615819613 — casado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IMÓVEL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Rua Panamá, nº 158, Bairro Esplanada, Montes Claros/MG, CEP 39.401-449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ÁREA TOTAL DO IMÓVEL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1.710,00 m²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ÁREA LOCADA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1.430,00 m² (área útil aproximada)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ÁREAS NÃO LOCADAS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280,00 m², de uso exclusivo da locadora (Cláusula III)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FINALIDADE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Atividades administrativas, armazenamento, apoio operacional e logístico, atividades industriais leves e correlatas à operação da locatária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PRAZO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12 (doze) meses — de 10/04/2026 a 10/04/2027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ALUGUEL MENSAL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R$ 10.000,00 (dez mil reais)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VENCIMENTO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Todo dia 10 de cada mês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FORMA DE PAGAMENTO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Depósito bancário em favor de Heitor de Freitas Froes — Sicoob Engecred, agência 3299, conta 46052-4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REAJUSTE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Anual, pelo menor índice positivo entre IPCA e IGP-M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ANEXOS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I — Relatório de avaliação do valor de mercado do aluguel; II — Memorial descritivo das áreas; III — Laudo de vistoria inicial</w:t>
            </w:r>
          </w:p>
        </w:tc>
      </w:tr>
    </w:tbl>
    <w:p>
      <w:pPr>
        <w:spacing w:after="0"/>
      </w:pP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I — DA IDENTIFICAÇÃO DAS PARTES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LOCADORA: DEFREITAS COMPRA, VENDA, INCORPORAÇÃO E LOCAÇÃO DE BENS IMÓVEIS PRÓPRIOS LTDA, inscrita no CNPJ sob o nº 11.435.163/0001-13, com sede na R. Lafeta, 116, Sala 105, Centro, Montes Claros/MG, CEP 39.400-045, neste ato representada por HEITOR DE FREITAS FROES, inscrito no CPF sob o nº 124.558.106-66, com endereço para notificações na Rua Doutor Walter Ferreira Barreto, nº 525, Bairro Ibituruna, Montes Claros/MG, CEP 39.401-347, e e-mail hffroes@gmail.com, doravante denominada LOCADORA, legítima proprietária do imóvel adiante identificado;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LOCATÁRIA: TURANO CONSTRUTORA LTDA, inscrita no CNPJ sob o nº 12.575.065/0001-44, com sede na Av. Doutor José Corrêa Machado, nº 1079, Bloco C, 1º andar, Sala 102, Montes Claros/MG, CEP 39.401-832, telefone (38) 98411-5441, neste ato representada por GUILHERME TRINDADE TURANO, inscrito no CPF sob o nº 011.689.716-23, portador do RG nº MG 615819613, doravante denominada LOCATÁRIA;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FIADOR: GUILHERME TRINDADE TURANO, casado, inscrito no CPF sob o nº 011.689.716-23, portador do RG nº MG 615819613, com endereço na Av. Doutor José Corrêa Machado, nº 1079, Bloco C, 1º andar, Sala 102, Montes Claros/MG, CEP 39.401-832, doravante denominado FIADOR.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As partes acima qualificadas têm entre si justo e contratado o presente Contrato de Locação de Imóvel Não Residencial, que se regerá pelas cláusulas seguintes e, subsidiariamente, pela Lei nº 8.245/1991 e pela legislação civil aplicável.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II — DO OBJETO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O presente contrato tem por objeto a locação parcial do imóvel situado na Rua Panamá, nº 158, Bairro Esplanada, Montes Claros/MG, CEP 39.401-449, com área total de 1.710,00 m² (mil setecentos e dez metros quadrados), correspondendo a área locada à área útil aproximada de 1.430,00 m² (mil quatrocentos e trinta metros quadrados), ocupada pela LOCATÁRIA.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primeiro — A LOCATÁRIA declara receber a área locada em condições adequadas ao uso proposto e ao exercício de suas atividades operacionais e empresariais.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segundo — A presente locação não abrange as áreas identificadas na Cláusula III como de uso exclusivo da LOCADORA, que permanecem sob sua posse direta e se destinam: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à operação própria;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ao armazenamento;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à circulação interna;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à manutenção;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e) à utilização comercial;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f) ao apoio operacional.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III — DAS ÁREAS NÃO LOCADAS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Permanecem sob posse, uso e operação exclusiva da LOCADORA as áreas abaixo, que totalizam 280,00 m² (duzentos e oitenta metros quadrados) e são descontadas da área total do imóvel:</w:t>
      </w:r>
    </w:p>
    <w:tbl>
      <w:tblPr>
        <w:tblW w:w="9638" w:type="dxa"/>
        <w:tblBorders>
          <w:top w:val="single" w:sz="4" w:space="0" w:color="D9D3C8"/>
          <w:bottom w:val="single" w:sz="4" w:space="0" w:color="D9D3C8"/>
          <w:insideH w:val="single" w:sz="4" w:space="0" w:color="D9D3C8"/>
        </w:tblBorders>
        <w:tblLayout w:type="fixed"/>
        <w:tblCellMar>
          <w:top w:w="90" w:type="dxa"/>
          <w:bottom w:w="90" w:type="dxa"/>
          <w:left w:w="0" w:type="dxa"/>
          <w:right w:w="160" w:type="dxa"/>
        </w:tblCellMar>
      </w:tblPr>
      <w:tblGrid>
        <w:gridCol w:w="2948"/>
        <w:gridCol w:w="6690"/>
      </w:tblGrid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CASA DOS FUNDOS, COMPRESSOR, 710 E UNO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176,00 m²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LOJA FRONTAL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54,00 m²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MAQUINÁRIO DA FÁBRICA (ÁREA APROXIMADA)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50,00 m²</w:t>
            </w:r>
          </w:p>
        </w:tc>
      </w:tr>
      <w:tr>
        <w:tc>
          <w:tcPr>
            <w:tcW w:w="2948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onsolas" w:hAnsi="Consolas" w:cs="Consolas"/>
                <w:color w:val="8B6449"/>
                <w:sz w:val="15"/>
                <w:szCs w:val="15"/>
              </w:rPr>
              <w:t xml:space="preserve">TOTAL NÃO LOCADO</w:t>
            </w:r>
          </w:p>
        </w:tc>
        <w:tc>
          <w:tcPr>
            <w:tcW w:w="6690" w:type="dxa"/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Calibri" w:hAnsi="Calibri" w:cs="Calibri"/>
                <w:color w:val="2B2723"/>
                <w:sz w:val="18"/>
                <w:szCs w:val="18"/>
              </w:rPr>
              <w:t xml:space="preserve">280,00 m²</w:t>
            </w:r>
          </w:p>
        </w:tc>
      </w:tr>
    </w:tbl>
    <w:p>
      <w:pPr>
        <w:spacing w:after="0"/>
      </w:pP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único — As áreas acima poderão futuramente ser incorporadas à área locada mediante termo aditivo específico entre as partes.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IV — DAS ÁREAS EM TRANSIÇÃO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As áreas atualmente em processo de desocupação poderão ser futuramente incorporadas à posse da LOCATÁRIA.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único — A eventual ampliação dependerá de: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disponibilidade operacional;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concordância das partes;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formalização por termo aditivo.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V — DA OCUPAÇÃO COMPARTILHADA, DOS ACESSOS E DA CIRCULAÇÃO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A LOCATÁRIA reconhece que determinadas áreas do imóvel permanecerão sob utilização direta da LOCADORA, devendo a convivência e a circulação operacional entre as partes ocorrer de forma harmoniosa e coordenada, respeitando: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os acessos;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a circulação;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a segurança;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a integridade patrimonial;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e) o funcionamento das operações.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primeiro — A LOCADORA poderá acessar suas áreas exclusivas a qualquer momento, não podendo a LOCATÁRIA impedir, restringir ou dificultar o acesso da LOCADORA às áreas não locadas.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segundo — Havendo necessidade operacional, manutenção, reparo estrutural ou adequações técnicas, a LOCADORA poderá acessar o imóvel mediante comunicação prévia.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terceiro — A LOCATÁRIA obriga-se a preservar: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os acessos internos;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os corredores operacionais;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as áreas de carga e descarga;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a circulação de veículos;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e) os sistemas hidráulicos;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f) os sistemas elétricos;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g) os equipamentos estruturais.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VI — DA DESTINAÇÃO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O imóvel será utilizado exclusivamente para fins empresariais e operacionais da LOCATÁRIA, compreendendo: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atividades administrativas;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armazenamento;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apoio operacional;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apoio logístico;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e) atividades industriais leves;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f) atividades correlatas à operação da TURANO CONSTRUTORA LTDA.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único — É vedada a utilização do imóvel para atividades ilícitas ou incompatíveis com sua natureza.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VII — DO PRAZO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A locação é celebrada por prazo determinado de 12 (doze) meses, com início em 10 de abril de 2026 e término em 10 de abril de 2027.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VIII — DO ALUGUEL E DO REAJUSTE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O aluguel mensal é de R$ 10.000,00 (dez mil reais).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único — O aluguel será reajustado anualmente pelo menor índice positivo entre o IPCA e o IGP-M.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IX — DO PAGAMENTO E DA MORA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O aluguel deverá ser pago até o dia 10 (dez) de cada mês, mediante depósito bancário em favor de HEITOR DE FREITAS FROES, no Sicoob Engecred, agência 3299, conta 46052-4.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único — Em caso de atraso, incidirão sobre o valor devido: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multa moratória de 20% (vinte por cento);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juros de 1% (um por cento) ao mês;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correção monetária.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X — DOS ENCARGOS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Serão de responsabilidade da LOCATÁRIA: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energia elétrica;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água;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taxas operacionais;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consumos próprios;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e) tributos incidentes sobre sua atividade.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único — As despesas comuns eventualmente compartilhadas poderão ser rateadas proporcionalmente entre as partes.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XI — DAS OBRIGAÇÕES E DA RESPONSABILIDADE DA LOCATÁRIA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Constituem obrigações da LOCATÁRIA: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conservar o imóvel;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preservar as instalações;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responder pelos danos causados;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cumprir as exigências legais;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e) manter padrões mínimos de segurança;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f) respeitar as normas ambientais e urbanísticas.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primeiro — A LOCATÁRIA responderá integralmente pelos danos causados: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ao imóvel;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às instalações;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às áreas comuns;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às estruturas existentes;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e) aos equipamentos eventualmente compartilhados;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f) às áreas da LOCADORA.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segundo — A responsabilidade prevista neste contrato abrange inclusive atos praticados por: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empregados;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prestadores de serviços;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fornecedores;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visitantes;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e) terceiros autorizados;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f) subcontratados.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terceiro — A LOCATÁRIA compromete-se a não armazenar produtos perigosos, inflamáveis ou incompatíveis com a estrutura do imóvel sem autorização prévia da LOCADORA e sem observância das normas legais aplicáveis.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quarto — A LOCATÁRIA compromete-se a respeitar integralmente: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as normas ambientais;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as normas urbanísticas;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as normas sanitárias;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as normas de segurança do trabalho;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e) as exigências do Corpo de Bombeiros;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f) as exigências municipais e estaduais.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XII — DAS BENFEITORIAS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Nenhuma alteração estrutural poderá ser realizada sem autorização expressa da LOCADORA.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primeiro — As benfeitorias úteis, necessárias ou voluptuárias realizadas sem autorização integrarão o imóvel, sem direito a retenção ou indenização.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segundo — As benfeitorias industriais e operacionais removíveis poderão ser retiradas pela LOCATÁRIA ao término da locação, desde que não causem danos estruturais ao imóvel.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XIII — DA VISTORIA E DA CONSERVAÇÃO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O imóvel será entregue mediante vistoria inicial assinada pelas partes, cujo laudo integra o presente contrato para todos os fins de direito (Anexo III).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primeiro — A LOCADORA poderá realizar vistorias no imóvel durante a locação, previamente agendadas com a LOCATÁRIA.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segundo — Ao término da locação será realizada vistoria final para verificação das condições do imóvel.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terceiro — A LOCATÁRIA deverá devolver o imóvel em condições compatíveis com aquelas em que o recebeu, ressalvado o desgaste natural decorrente do uso normal.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quarto — Constatados danos além do desgaste natural, a LOCATÁRIA ficará obrigada ao reparo imediato ou ao ressarcimento correspondente.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XIV — DO INADIMPLEMENTO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O atraso no pagamento do aluguel ou dos encargos por período superior a 30 (trinta) dias constituirá inadimplemento contratual.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primeiro — O inadimplemento autorizará a LOCADORA a promover: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a cobrança judicial;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a execução do contrato;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o despejo;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a cobrança de perdas e danos.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segundo — O atraso superior a 90 (noventa) dias poderá ensejar a rescisão imediata do contrato.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XV — DA RESCISÃO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O presente contrato poderá ser rescindido: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por comum acordo;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por inadimplência;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por descumprimento contratual;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d) por utilização irregular do imóvel.</w:t>
      </w:r>
    </w:p>
    <w:p>
      <w:pPr>
        <w:spacing w:before="0" w:after="14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Parágrafo único — Em caso de desocupação antecipada injustificada pela LOCATÁRIA, ficará devida multa equivalente a 3 (três) aluguéis.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XVI — DA FIANÇA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O FIADOR responde solidariamente com a LOCATÁRIA por todas as obrigações assumidas neste contrato.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XVII — DO TÍTULO EXECUTIVO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O presente contrato constitui título executivo extrajudicial.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XVIII — DOS ANEXOS</w:t>
      </w:r>
    </w:p>
    <w:p>
      <w:pPr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Integram o presente contrato, para todos os fins de direito: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a) ANEXO I — Relatório de avaliação do valor de mercado do aluguel;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b) ANEXO II — Memorial descritivo das áreas;</w:t>
      </w:r>
    </w:p>
    <w:p>
      <w:pPr>
        <w:spacing w:before="0" w:after="100" w:line="276" w:lineRule="auto"/>
        <w:ind w:left="340"/>
        <w:jc w:val="both"/>
      </w:pPr>
      <w:r>
        <w:rPr>
          <w:rFonts w:ascii="Calibri" w:hAnsi="Calibri" w:cs="Calibri"/>
          <w:color w:val="55504A"/>
          <w:sz w:val="19"/>
          <w:szCs w:val="19"/>
        </w:rPr>
        <w:t xml:space="preserve">c) ANEXO III — Laudo de vistoria inicial.</w:t>
      </w:r>
    </w:p>
    <w:p>
      <w:pPr>
        <w:keepNext/>
        <w:keepLines/>
        <w:spacing w:before="260" w:after="120" w:line="276" w:lineRule="auto"/>
        <w:jc w:val="left"/>
      </w:pPr>
      <w:r>
        <w:rPr>
          <w:rFonts w:ascii="Calibri" w:hAnsi="Calibri" w:cs="Calibri"/>
          <w:b/>
          <w:color w:val="3A2A1F"/>
          <w:sz w:val="20"/>
          <w:szCs w:val="20"/>
        </w:rPr>
        <w:t xml:space="preserve">XIX — DO FORO</w:t>
      </w:r>
    </w:p>
    <w:p>
      <w:pPr>
        <w:keepNext/>
        <w:keepLines/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Fica eleito o foro da comarca de Montes Claros/MG para dirimir quaisquer questões oriundas deste contrato, com renúncia a qualquer outro, por mais privilegiado que seja.</w:t>
      </w:r>
    </w:p>
    <w:p>
      <w:pPr>
        <w:keepNext/>
        <w:keepLines/>
        <w:spacing w:before="0" w:after="140" w:line="276" w:lineRule="auto"/>
        <w:jc w:val="both"/>
      </w:pPr>
      <w:r>
        <w:rPr>
          <w:rFonts w:ascii="Calibri" w:hAnsi="Calibri" w:cs="Calibri"/>
          <w:color w:val="2B2723"/>
          <w:sz w:val="20"/>
          <w:szCs w:val="20"/>
        </w:rPr>
        <w:t xml:space="preserve">E, por estarem assim justas e contratadas, as partes assinam o presente instrumento em 3 (três) vias de igual teor e forma, para que produza seus efeitos legais.</w:t>
      </w:r>
    </w:p>
    <w:p>
      <w:pPr>
        <w:keepNext/>
        <w:keepLines/>
        <w:spacing w:before="320" w:after="320" w:line="276" w:lineRule="auto"/>
        <w:jc w:val="left"/>
      </w:pPr>
      <w:r>
        <w:rPr>
          <w:rFonts w:ascii="Calibri" w:hAnsi="Calibri" w:cs="Calibri"/>
          <w:color w:val="2B2723"/>
          <w:sz w:val="20"/>
          <w:szCs w:val="20"/>
        </w:rPr>
        <w:t xml:space="preserve">Montes Claros/MG, 14 de outubro de 2026.</w:t>
      </w:r>
    </w:p>
    <w:p>
      <w:pPr>
        <w:keepNext/>
        <w:keepLines/>
        <w:spacing w:before="280" w:after="40" w:line="276" w:lineRule="auto"/>
        <w:jc w:val="left"/>
      </w:pPr>
      <w:r>
        <w:rPr>
          <w:rFonts w:ascii="Calibri" w:hAnsi="Calibri" w:cs="Calibri"/>
          <w:color w:val="2B2723"/>
          <w:sz w:val="20"/>
          <w:szCs w:val="20"/>
        </w:rPr>
        <w:t xml:space="preserve">______________________________________________________</w:t>
      </w:r>
    </w:p>
    <w:p>
      <w:pPr>
        <w:keepNext/>
        <w:keepLines/>
        <w:spacing w:before="0" w:after="20" w:line="276" w:lineRule="auto"/>
        <w:jc w:val="left"/>
      </w:pPr>
      <w:r>
        <w:rPr>
          <w:rFonts w:ascii="Consolas" w:hAnsi="Consolas" w:cs="Consolas"/>
          <w:color w:val="8B6449"/>
          <w:sz w:val="14"/>
          <w:szCs w:val="14"/>
        </w:rPr>
        <w:t xml:space="preserve">LOCADORA</w:t>
      </w:r>
    </w:p>
    <w:p>
      <w:pPr>
        <w:keepNext/>
        <w:keepLines/>
        <w:spacing w:before="0" w:after="20" w:line="276" w:lineRule="auto"/>
        <w:jc w:val="left"/>
      </w:pPr>
      <w:r>
        <w:rPr>
          <w:rFonts w:ascii="Calibri" w:hAnsi="Calibri" w:cs="Calibri"/>
          <w:color w:val="2B2723"/>
          <w:sz w:val="18"/>
          <w:szCs w:val="18"/>
        </w:rPr>
        <w:t xml:space="preserve">Defreitas Compra, Venda, Incorporação e Locação de Bens Imóveis Próprios Ltda</w:t>
      </w:r>
    </w:p>
    <w:p>
      <w:pPr>
        <w:keepNext/>
        <w:keepLines/>
        <w:spacing w:before="0" w:after="120" w:line="276" w:lineRule="auto"/>
        <w:jc w:val="left"/>
      </w:pPr>
      <w:r>
        <w:rPr>
          <w:rFonts w:ascii="Calibri" w:hAnsi="Calibri" w:cs="Calibri"/>
          <w:color w:val="8B8479"/>
          <w:sz w:val="16"/>
          <w:szCs w:val="16"/>
        </w:rPr>
        <w:t xml:space="preserve">p. Heitor de Freitas Froes — representante</w:t>
      </w:r>
    </w:p>
    <w:p>
      <w:pPr>
        <w:keepNext/>
        <w:keepLines/>
        <w:spacing w:before="280" w:after="40" w:line="276" w:lineRule="auto"/>
        <w:jc w:val="left"/>
      </w:pPr>
      <w:r>
        <w:rPr>
          <w:rFonts w:ascii="Calibri" w:hAnsi="Calibri" w:cs="Calibri"/>
          <w:color w:val="2B2723"/>
          <w:sz w:val="20"/>
          <w:szCs w:val="20"/>
        </w:rPr>
        <w:t xml:space="preserve">______________________________________________________</w:t>
      </w:r>
    </w:p>
    <w:p>
      <w:pPr>
        <w:keepNext/>
        <w:keepLines/>
        <w:spacing w:before="0" w:after="20" w:line="276" w:lineRule="auto"/>
        <w:jc w:val="left"/>
      </w:pPr>
      <w:r>
        <w:rPr>
          <w:rFonts w:ascii="Consolas" w:hAnsi="Consolas" w:cs="Consolas"/>
          <w:color w:val="8B6449"/>
          <w:sz w:val="14"/>
          <w:szCs w:val="14"/>
        </w:rPr>
        <w:t xml:space="preserve">LOCATÁRIA</w:t>
      </w:r>
    </w:p>
    <w:p>
      <w:pPr>
        <w:keepNext/>
        <w:keepLines/>
        <w:spacing w:before="0" w:after="20" w:line="276" w:lineRule="auto"/>
        <w:jc w:val="left"/>
      </w:pPr>
      <w:r>
        <w:rPr>
          <w:rFonts w:ascii="Calibri" w:hAnsi="Calibri" w:cs="Calibri"/>
          <w:color w:val="2B2723"/>
          <w:sz w:val="18"/>
          <w:szCs w:val="18"/>
        </w:rPr>
        <w:t xml:space="preserve">Turano Construtora Ltda</w:t>
      </w:r>
    </w:p>
    <w:p>
      <w:pPr>
        <w:keepNext/>
        <w:keepLines/>
        <w:spacing w:before="0" w:after="120" w:line="276" w:lineRule="auto"/>
        <w:jc w:val="left"/>
      </w:pPr>
      <w:r>
        <w:rPr>
          <w:rFonts w:ascii="Calibri" w:hAnsi="Calibri" w:cs="Calibri"/>
          <w:color w:val="8B8479"/>
          <w:sz w:val="16"/>
          <w:szCs w:val="16"/>
        </w:rPr>
        <w:t xml:space="preserve">p. Guilherme Trindade Turano — representante</w:t>
      </w:r>
    </w:p>
    <w:p>
      <w:pPr>
        <w:keepNext/>
        <w:keepLines/>
        <w:spacing w:before="280" w:after="40" w:line="276" w:lineRule="auto"/>
        <w:jc w:val="left"/>
      </w:pPr>
      <w:r>
        <w:rPr>
          <w:rFonts w:ascii="Calibri" w:hAnsi="Calibri" w:cs="Calibri"/>
          <w:color w:val="2B2723"/>
          <w:sz w:val="20"/>
          <w:szCs w:val="20"/>
        </w:rPr>
        <w:t xml:space="preserve">______________________________________________________</w:t>
      </w:r>
    </w:p>
    <w:p>
      <w:pPr>
        <w:keepNext/>
        <w:keepLines/>
        <w:spacing w:before="0" w:after="20" w:line="276" w:lineRule="auto"/>
        <w:jc w:val="left"/>
      </w:pPr>
      <w:r>
        <w:rPr>
          <w:rFonts w:ascii="Consolas" w:hAnsi="Consolas" w:cs="Consolas"/>
          <w:color w:val="8B6449"/>
          <w:sz w:val="14"/>
          <w:szCs w:val="14"/>
        </w:rPr>
        <w:t xml:space="preserve">FIADOR</w:t>
      </w:r>
    </w:p>
    <w:p>
      <w:pPr>
        <w:keepNext/>
        <w:keepLines/>
        <w:spacing w:before="0" w:after="120" w:line="276" w:lineRule="auto"/>
        <w:jc w:val="left"/>
      </w:pPr>
      <w:r>
        <w:rPr>
          <w:rFonts w:ascii="Calibri" w:hAnsi="Calibri" w:cs="Calibri"/>
          <w:color w:val="2B2723"/>
          <w:sz w:val="18"/>
          <w:szCs w:val="18"/>
        </w:rPr>
        <w:t xml:space="preserve">Guilherme Trindade Turano — CPF 011.689.716-23</w:t>
      </w:r>
    </w:p>
    <w:p>
      <w:pPr>
        <w:keepNext/>
        <w:keepLines/>
        <w:spacing w:before="280" w:after="40" w:line="276" w:lineRule="auto"/>
        <w:jc w:val="left"/>
      </w:pPr>
      <w:r>
        <w:rPr>
          <w:rFonts w:ascii="Calibri" w:hAnsi="Calibri" w:cs="Calibri"/>
          <w:color w:val="2B2723"/>
          <w:sz w:val="20"/>
          <w:szCs w:val="20"/>
        </w:rPr>
        <w:t xml:space="preserve">______________________________________________________</w:t>
      </w:r>
    </w:p>
    <w:p>
      <w:pPr>
        <w:keepNext/>
        <w:keepLines/>
        <w:spacing w:before="0" w:after="20" w:line="276" w:lineRule="auto"/>
        <w:jc w:val="left"/>
      </w:pPr>
      <w:r>
        <w:rPr>
          <w:rFonts w:ascii="Consolas" w:hAnsi="Consolas" w:cs="Consolas"/>
          <w:color w:val="8B6449"/>
          <w:sz w:val="14"/>
          <w:szCs w:val="14"/>
        </w:rPr>
        <w:t xml:space="preserve">CÔNJUGE DO FIADOR (ANUÊNCIA À FIANÇA)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723"/>
          <w:sz w:val="18"/>
          <w:szCs w:val="18"/>
        </w:rPr>
        <w:t xml:space="preserve">[nome] — CPF [_____]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B2723"/>
        <w:sz w:val="20"/>
        <w:szCs w:val="20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