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120" w:line="276" w:lineRule="auto"/>
        <w:jc w:val="left"/>
      </w:pPr>
      <w:r>
        <w:rPr>
          <w:rFonts w:ascii="Cambria" w:hAnsi="Cambria" w:cs="Cambria"/>
          <w:b/>
          <w:color w:val="3A2A1F"/>
          <w:sz w:val="26"/>
          <w:szCs w:val="26"/>
          <w:spacing w:val="20"/>
        </w:rPr>
        <w:t xml:space="preserve">DEFREITAS</w:t>
      </w:r>
    </w:p>
    <w:p>
      <w:pPr>
        <w:spacing w:before="0" w:after="240" w:line="276" w:lineRule="auto"/>
        <w:jc w:val="left"/>
      </w:pPr>
      <w:r>
        <w:rPr>
          <w:rFonts w:ascii="Consolas" w:hAnsi="Consolas" w:cs="Consolas"/>
          <w:color w:val="8B6449"/>
          <w:sz w:val="14"/>
          <w:szCs w:val="14"/>
          <w:spacing w:val="30"/>
        </w:rPr>
        <w:t xml:space="preserve">IMÓVEIS PRÓPRIOS  ·  CONTRATO Nº 02/2026</w:t>
      </w:r>
    </w:p>
    <w:p>
      <w:pPr>
        <w:spacing w:before="120" w:after="280" w:line="276" w:lineRule="auto"/>
        <w:jc w:val="center"/>
      </w:pPr>
      <w:r>
        <w:rPr>
          <w:rFonts w:ascii="Cambria" w:hAnsi="Cambria" w:cs="Cambria"/>
          <w:b/>
          <w:color w:val="3A2A1F"/>
          <w:sz w:val="30"/>
          <w:szCs w:val="30"/>
        </w:rPr>
        <w:t xml:space="preserve">CONTRATO DE LOCAÇÃO DE IMÓVEL NÃO RESIDENCIAL</w:t>
      </w:r>
    </w:p>
    <w:tbl>
      <w:tblPr>
        <w:tblW w:w="9638" w:type="dxa"/>
        <w:tblBorders>
          <w:top w:val="single" w:sz="4" w:space="0" w:color="D9D3C8"/>
          <w:bottom w:val="single" w:sz="4" w:space="0" w:color="D9D3C8"/>
          <w:insideH w:val="single" w:sz="4" w:space="0" w:color="D9D3C8"/>
        </w:tblBorders>
        <w:tblLayout w:type="fixed"/>
        <w:tblCellMar>
          <w:top w:w="90" w:type="dxa"/>
          <w:bottom w:w="90" w:type="dxa"/>
          <w:left w:w="0" w:type="dxa"/>
          <w:right w:w="160" w:type="dxa"/>
        </w:tblCellMar>
      </w:tblPr>
      <w:tblGrid>
        <w:gridCol w:w="2948"/>
        <w:gridCol w:w="6690"/>
      </w:tblGrid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LOCADORA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Defreitas Compra, Venda, Incorporação e Locação de Bens Imóveis Próprios Ltda — CNPJ 11.435.163/0001-13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REPRESENTANTE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Heitor de Freitas Froes — CPF 124.558.106-66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ENDEREÇO PARA NOTIFICAÇÕES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Rua Doutor Walter Ferreira Barreto, nº 525, Bairro Ibituruna, Montes Claros/MG, CEP 39.401-347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E-MAIL DA LOCADORA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hffroes@gmail.com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LOCATÁRIA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Turano Construtora Ltda — CNPJ 12.575.065/0001-44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ENDEREÇO DA LOCATÁRIA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Av. Doutor José Corrêa Machado, nº 1079, Bloco C, 1º andar, Sala 102, Montes Claros/MG, CEP 39.401-832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REPRESENTANTE DA LOCATÁRIA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Guilherme Trindade Turano — CPF 011.689.716-23 — RG MG 615819613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TELEFONE DA LOCATÁRIA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(38) 98411-5441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FIADOR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Guilherme Trindade Turano — CPF 011.689.716-23 — RG MG 615819613 — casado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IMÓVEL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Rua Panamá, nº 158, Bairro Esplanada, Montes Claros/MG, CEP 39.401-449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ÁREA TOTAL DO IMÓVEL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1.710,00 m²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ÁREA LOCADA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1.430,00 m² (área útil aproximada)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ÁREAS NÃO LOCADAS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280,00 m², de uso exclusivo da locadora (Cláusula III)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FINALIDADE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Atividades administrativas, armazenamento, apoio operacional e logístico, atividades industriais leves e correlatas à operação da locatária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PRAZO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12 (doze) meses — de 10/04/2026 a 10/04/2027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ALUGUEL MENSAL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R$ 10.000,00 (dez mil reais)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DESCONTO INICIAL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50% nos 3 (três) primeiros meses — R$ 5.000,00 (cinco mil reais) por mês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VENCIMENTO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Todo dia 10 de cada mês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FORMA DE PAGAMENTO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Depósito bancário em favor de Heitor de Freitas Froes — Sicoob Engecred, agência 3299, conta 46052-4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REAJUSTE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Anual, pelo menor índice positivo entre IPCA e IGP-M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ANEXOS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I — Relatório de avaliação do valor de mercado do aluguel; II — Memorial descritivo das áreas; III — Laudo de vistoria inicial</w:t>
            </w:r>
          </w:p>
        </w:tc>
      </w:tr>
    </w:tbl>
    <w:p>
      <w:pPr>
        <w:spacing w:after="0"/>
      </w:pP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I — DA IDENTIFICAÇÃO DAS PARTES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LOCADORA: DEFREITAS COMPRA, VENDA, INCORPORAÇÃO E LOCAÇÃO DE BENS IMÓVEIS PRÓPRIOS LTDA, inscrita no CNPJ sob o nº 11.435.163/0001-13, com sede na R. Lafeta, 116, Sala 105, Centro, Montes Claros/MG, CEP 39.400-045, neste ato representada por HEITOR DE FREITAS FROES, inscrito no CPF sob o nº 124.558.106-66, com endereço para notificações na Rua Doutor Walter Ferreira Barreto, nº 525, Bairro Ibituruna, Montes Claros/MG, CEP 39.401-347, e e-mail hffroes@gmail.com, doravante denominada LOCADORA, legítima proprietária do imóvel adiante identificado;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LOCATÁRIA: TURANO CONSTRUTORA LTDA, inscrita no CNPJ sob o nº 12.575.065/0001-44, com sede na Av. Doutor José Corrêa Machado, nº 1079, Bloco C, 1º andar, Sala 102, Montes Claros/MG, CEP 39.401-832, telefone (38) 98411-5441, neste ato representada por GUILHERME TRINDADE TURANO, inscrito no CPF sob o nº 011.689.716-23, portador do RG nº MG 615819613, doravante denominada LOCATÁRIA;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FIADOR: GUILHERME TRINDADE TURANO, casado, inscrito no CPF sob o nº 011.689.716-23, portador do RG nº MG 615819613, com endereço na Av. Doutor José Corrêa Machado, nº 1079, Bloco C, 1º andar, Sala 102, Montes Claros/MG, CEP 39.401-832, doravante denominado FIADOR.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As partes acima qualificadas têm entre si justo e contratado o presente Contrato de Locação de Imóvel Não Residencial, que se regerá pelas cláusulas seguintes e, subsidiariamente, pela Lei nº 8.245/1991 e pela legislação civil aplicável.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II — DO OBJETO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presente contrato tem por objeto a locação parcial do imóvel situado na Rua Panamá, nº 158, Bairro Esplanada, Montes Claros/MG, CEP 39.401-449, com área total de 1.710,00 m² (mil setecentos e dez metros quadrados), correspondendo a área locada à área útil aproximada de 1.430,00 m² (mil quatrocentos e trinta metros quadrados), ocupada pela LOCATÁRIA.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primeiro — A LOCATÁRIA declara receber a área locada em condições adequadas ao uso proposto e ao exercício de suas atividades operacionais e empresariais.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segundo — A presente locação não abrange as áreas identificadas na Cláusula III como de uso exclusivo da LOCADORA, que permanecem sob sua posse direta e se destinam: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à operação própria;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ao armazenamento;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à circulação interna;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à manutenção;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à utilização comercial;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f) ao apoio operacional.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III — DAS ÁREAS NÃO LOCADAS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Permanecem sob posse, uso e operação exclusiva da LOCADORA as áreas abaixo, que totalizam 280,00 m² (duzentos e oitenta metros quadrados) e são descontadas da área total do imóvel:</w:t>
      </w:r>
    </w:p>
    <w:tbl>
      <w:tblPr>
        <w:tblW w:w="9638" w:type="dxa"/>
        <w:tblBorders>
          <w:top w:val="single" w:sz="4" w:space="0" w:color="D9D3C8"/>
          <w:bottom w:val="single" w:sz="4" w:space="0" w:color="D9D3C8"/>
          <w:insideH w:val="single" w:sz="4" w:space="0" w:color="D9D3C8"/>
        </w:tblBorders>
        <w:tblLayout w:type="fixed"/>
        <w:tblCellMar>
          <w:top w:w="90" w:type="dxa"/>
          <w:bottom w:w="90" w:type="dxa"/>
          <w:left w:w="0" w:type="dxa"/>
          <w:right w:w="160" w:type="dxa"/>
        </w:tblCellMar>
      </w:tblPr>
      <w:tblGrid>
        <w:gridCol w:w="2948"/>
        <w:gridCol w:w="6690"/>
      </w:tblGrid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CASA DOS FUNDOS, COMPRESSOR, 710 E UNO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176,00 m²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LOJA FRONTAL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54,00 m²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MAQUINÁRIO DA FÁBRICA (ÁREA APROXIMADA)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50,00 m²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TOTAL NÃO LOCADO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280,00 m²</w:t>
            </w:r>
          </w:p>
        </w:tc>
      </w:tr>
    </w:tbl>
    <w:p>
      <w:pPr>
        <w:spacing w:after="0"/>
      </w:pP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único — As áreas acima poderão futuramente ser incorporadas à área locada mediante termo aditivo específico entre as partes.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IV — DAS ÁREAS EM TRANSIÇÃO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As áreas atualmente em processo de desocupação poderão ser futuramente incorporadas à posse da LOCATÁRIA.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único — A eventual ampliação dependerá de: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disponibilidade operacional;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concordância das partes;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formalização por termo aditivo.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V — DA OCUPAÇÃO COMPARTILHADA, DOS ACESSOS E DA CIRCULAÇÃO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A LOCATÁRIA reconhece que determinadas áreas do imóvel permanecerão sob utilização direta da LOCADORA, devendo a convivência e a circulação operacional entre as partes ocorrer de forma harmoniosa e coordenada, respeitando: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os acessos;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a circulação;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a segurança;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a integridade patrimonial;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o funcionamento das operações.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primeiro — A LOCADORA poderá acessar suas áreas exclusivas a qualquer momento, não podendo a LOCATÁRIA impedir, restringir ou dificultar o acesso da LOCADORA às áreas não locadas.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segundo — Havendo necessidade operacional, manutenção, reparo estrutural ou adequações técnicas, a LOCADORA poderá acessar o imóvel mediante comunicação prévia.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terceiro — A LOCATÁRIA obriga-se a preservar: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os acessos internos;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os corredores operacionais;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as áreas de carga e descarga;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a circulação de veículos;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os sistemas hidráulicos;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f) os sistemas elétricos;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g) os equipamentos estruturais.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VI — DA DESTINAÇÃO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imóvel será utilizado exclusivamente para fins empresariais e operacionais da LOCATÁRIA, compreendendo: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atividades administrativas;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armazenamento;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apoio operacional;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apoio logístico;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atividades industriais leves;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f) atividades correlatas à operação da TURANO CONSTRUTORA LTDA.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único — É vedada a utilização do imóvel para atividades ilícitas ou incompatíveis com sua natureza.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VII — DO PRAZO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A locação é celebrada por prazo determinado de 12 (doze) meses, com início em 10 de abril de 2026 e término em 10 de abril de 2027.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VIII — DO ALUGUEL, DO DESCONTO INICIAL E DO REAJUSTE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aluguel mensal é de R$ 10.000,00 (dez mil reais).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primeiro — Será concedido desconto de 50% (cinquenta por cento) sobre o aluguel nos 3 (três) primeiros meses da locação, período em que o aluguel mensal será de R$ 5.000,00 (cinco mil reais).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segundo — O aluguel será reajustado anualmente pelo menor índice positivo entre o IPCA e o IGP-M.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IX — DO PAGAMENTO E DA MORA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aluguel deverá ser pago até o dia 10 (dez) de cada mês, mediante depósito bancário em favor de HEITOR DE FREITAS FROES, no Sicoob Engecred, agência 3299, conta 46052-4.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único — Em caso de atraso, incidirão sobre o valor devido: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multa moratória de 20% (vinte por cento);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juros de 1% (um por cento) ao mês;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correção monetária.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 — DOS ENCARGOS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Serão de responsabilidade da LOCATÁRIA: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energia elétrica;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água;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taxas operacionais;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consumos próprios;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tributos incidentes sobre sua atividade.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único — As despesas comuns eventualmente compartilhadas poderão ser rateadas proporcionalmente entre as partes.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XI — DAS OBRIGAÇÕES E DA RESPONSABILIDADE DA LOCATÁRIA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Constituem obrigações da LOCATÁRIA: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conservar o imóvel;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preservar as instalações;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responder pelos danos causados;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cumprir as exigências legais;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manter padrões mínimos de segurança;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f) respeitar as normas ambientais e urbanísticas.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primeiro — A LOCATÁRIA responderá integralmente pelos danos causados: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ao imóvel;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às instalações;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às áreas comuns;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às estruturas existentes;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aos equipamentos eventualmente compartilhados;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f) às áreas da LOCADORA.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segundo — A responsabilidade prevista neste contrato abrange inclusive atos praticados por: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empregados;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prestadores de serviços;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fornecedores;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visitantes;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terceiros autorizados;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f) subcontratados.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terceiro — A LOCATÁRIA compromete-se a não armazenar produtos perigosos, inflamáveis ou incompatíveis com a estrutura do imóvel sem autorização prévia da LOCADORA e sem observância das normas legais aplicáveis.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quarto — A LOCATÁRIA compromete-se a respeitar integralmente: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as normas ambientais;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as normas urbanísticas;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as normas sanitárias;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as normas de segurança do trabalho;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as exigências do Corpo de Bombeiros;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f) as exigências municipais e estaduais.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XII — DAS BENFEITORIAS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Nenhuma alteração estrutural poderá ser realizada sem autorização expressa da LOCADORA.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primeiro — As benfeitorias úteis, necessárias ou voluptuárias realizadas sem autorização integrarão o imóvel, sem direito a retenção ou indenização.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segundo — As benfeitorias industriais e operacionais removíveis poderão ser retiradas pela LOCATÁRIA ao término da locação, desde que não causem danos estruturais ao imóvel.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XIII — DA VISTORIA E DA CONSERVAÇÃO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imóvel será entregue mediante vistoria inicial assinada pelas partes, cujo laudo integra o presente contrato para todos os fins de direito (Anexo III).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primeiro — A LOCADORA poderá realizar vistorias no imóvel durante a locação, previamente agendadas com a LOCATÁRIA.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segundo — Ao término da locação será realizada vistoria final para verificação das condições do imóvel.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terceiro — A LOCATÁRIA deverá devolver o imóvel em condições compatíveis com aquelas em que o recebeu, ressalvado o desgaste natural decorrente do uso normal.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quarto — Constatados danos além do desgaste natural, a LOCATÁRIA ficará obrigada ao reparo imediato ou ao ressarcimento correspondente.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XIV — DO INADIMPLEMENTO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atraso no pagamento do aluguel ou dos encargos por período superior a 30 (trinta) dias constituirá inadimplemento contratual.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primeiro — O inadimplemento autorizará a LOCADORA a promover: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a cobrança judicial;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a execução do contrato;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o despejo;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a cobrança de perdas e danos.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segundo — O atraso superior a 90 (noventa) dias poderá ensejar a rescisão imediata do contrato.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XV — DA RESCISÃO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presente contrato poderá ser rescindido: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por comum acordo;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por inadimplência;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por descumprimento contratual;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por utilização irregular do imóvel.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único — Em caso de desocupação antecipada injustificada pela LOCATÁRIA, ficará devida multa equivalente a 3 (três) aluguéis.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XVI — DA FIANÇA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FIADOR responde solidariamente com a LOCATÁRIA por todas as obrigações assumidas neste contrato.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XVII — DO TÍTULO EXECUTIVO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presente contrato constitui título executivo extrajudicial.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XVIII — DOS ANEXOS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Integram o presente contrato, para todos os fins de direito: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ANEXO I — Relatório de avaliação do valor de mercado do aluguel;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ANEXO II — Memorial descritivo das áreas;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ANEXO III — Laudo de vistoria inicial.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XIX — DO FORO</w:t>
      </w:r>
    </w:p>
    <w:p>
      <w:pPr>
        <w:keepNext/>
        <w:keepLines/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Fica eleito o foro da comarca de Montes Claros/MG para dirimir quaisquer questões oriundas deste contrato, com renúncia a qualquer outro, por mais privilegiado que seja.</w:t>
      </w:r>
    </w:p>
    <w:p>
      <w:pPr>
        <w:keepNext/>
        <w:keepLines/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E, por estarem assim justas e contratadas, as partes assinam o presente instrumento em 3 (três) vias de igual teor e forma, para que produza seus efeitos legais.</w:t>
      </w:r>
    </w:p>
    <w:p>
      <w:pPr>
        <w:keepNext/>
        <w:keepLines/>
        <w:spacing w:before="320" w:after="320" w:line="276" w:lineRule="auto"/>
        <w:jc w:val="left"/>
      </w:pPr>
      <w:r>
        <w:rPr>
          <w:rFonts w:ascii="Calibri" w:hAnsi="Calibri" w:cs="Calibri"/>
          <w:color w:val="2B2723"/>
          <w:sz w:val="20"/>
          <w:szCs w:val="20"/>
        </w:rPr>
        <w:t xml:space="preserve">Montes Claros/MG, 14 de outubro de 2026.</w:t>
      </w:r>
    </w:p>
    <w:p>
      <w:pPr>
        <w:keepNext/>
        <w:keepLines/>
        <w:spacing w:before="280" w:after="40" w:line="276" w:lineRule="auto"/>
        <w:jc w:val="left"/>
      </w:pPr>
      <w:r>
        <w:rPr>
          <w:rFonts w:ascii="Calibri" w:hAnsi="Calibri" w:cs="Calibri"/>
          <w:color w:val="2B2723"/>
          <w:sz w:val="20"/>
          <w:szCs w:val="20"/>
        </w:rPr>
        <w:t xml:space="preserve">______________________________________________________</w:t>
      </w:r>
    </w:p>
    <w:p>
      <w:pPr>
        <w:keepNext/>
        <w:keepLines/>
        <w:spacing w:before="0" w:after="20" w:line="276" w:lineRule="auto"/>
        <w:jc w:val="left"/>
      </w:pPr>
      <w:r>
        <w:rPr>
          <w:rFonts w:ascii="Consolas" w:hAnsi="Consolas" w:cs="Consolas"/>
          <w:color w:val="8B6449"/>
          <w:sz w:val="14"/>
          <w:szCs w:val="14"/>
        </w:rPr>
        <w:t xml:space="preserve">LOCADORA</w:t>
      </w:r>
    </w:p>
    <w:p>
      <w:pPr>
        <w:keepNext/>
        <w:keepLines/>
        <w:spacing w:before="0" w:after="20" w:line="276" w:lineRule="auto"/>
        <w:jc w:val="left"/>
      </w:pPr>
      <w:r>
        <w:rPr>
          <w:rFonts w:ascii="Calibri" w:hAnsi="Calibri" w:cs="Calibri"/>
          <w:color w:val="2B2723"/>
          <w:sz w:val="18"/>
          <w:szCs w:val="18"/>
        </w:rPr>
        <w:t xml:space="preserve">Defreitas Compra, Venda, Incorporação e Locação de Bens Imóveis Próprios Ltda</w:t>
      </w:r>
    </w:p>
    <w:p>
      <w:pPr>
        <w:keepNext/>
        <w:keepLines/>
        <w:spacing w:before="0" w:after="120" w:line="276" w:lineRule="auto"/>
        <w:jc w:val="left"/>
      </w:pPr>
      <w:r>
        <w:rPr>
          <w:rFonts w:ascii="Calibri" w:hAnsi="Calibri" w:cs="Calibri"/>
          <w:color w:val="8B8479"/>
          <w:sz w:val="16"/>
          <w:szCs w:val="16"/>
        </w:rPr>
        <w:t xml:space="preserve">p. Heitor de Freitas Froes — representante</w:t>
      </w:r>
    </w:p>
    <w:p>
      <w:pPr>
        <w:keepNext/>
        <w:keepLines/>
        <w:spacing w:before="280" w:after="40" w:line="276" w:lineRule="auto"/>
        <w:jc w:val="left"/>
      </w:pPr>
      <w:r>
        <w:rPr>
          <w:rFonts w:ascii="Calibri" w:hAnsi="Calibri" w:cs="Calibri"/>
          <w:color w:val="2B2723"/>
          <w:sz w:val="20"/>
          <w:szCs w:val="20"/>
        </w:rPr>
        <w:t xml:space="preserve">______________________________________________________</w:t>
      </w:r>
    </w:p>
    <w:p>
      <w:pPr>
        <w:keepNext/>
        <w:keepLines/>
        <w:spacing w:before="0" w:after="20" w:line="276" w:lineRule="auto"/>
        <w:jc w:val="left"/>
      </w:pPr>
      <w:r>
        <w:rPr>
          <w:rFonts w:ascii="Consolas" w:hAnsi="Consolas" w:cs="Consolas"/>
          <w:color w:val="8B6449"/>
          <w:sz w:val="14"/>
          <w:szCs w:val="14"/>
        </w:rPr>
        <w:t xml:space="preserve">LOCATÁRIA</w:t>
      </w:r>
    </w:p>
    <w:p>
      <w:pPr>
        <w:keepNext/>
        <w:keepLines/>
        <w:spacing w:before="0" w:after="20" w:line="276" w:lineRule="auto"/>
        <w:jc w:val="left"/>
      </w:pPr>
      <w:r>
        <w:rPr>
          <w:rFonts w:ascii="Calibri" w:hAnsi="Calibri" w:cs="Calibri"/>
          <w:color w:val="2B2723"/>
          <w:sz w:val="18"/>
          <w:szCs w:val="18"/>
        </w:rPr>
        <w:t xml:space="preserve">Turano Construtora Ltda</w:t>
      </w:r>
    </w:p>
    <w:p>
      <w:pPr>
        <w:keepNext/>
        <w:keepLines/>
        <w:spacing w:before="0" w:after="120" w:line="276" w:lineRule="auto"/>
        <w:jc w:val="left"/>
      </w:pPr>
      <w:r>
        <w:rPr>
          <w:rFonts w:ascii="Calibri" w:hAnsi="Calibri" w:cs="Calibri"/>
          <w:color w:val="8B8479"/>
          <w:sz w:val="16"/>
          <w:szCs w:val="16"/>
        </w:rPr>
        <w:t xml:space="preserve">p. Guilherme Trindade Turano — representante</w:t>
      </w:r>
    </w:p>
    <w:p>
      <w:pPr>
        <w:keepNext/>
        <w:keepLines/>
        <w:spacing w:before="280" w:after="40" w:line="276" w:lineRule="auto"/>
        <w:jc w:val="left"/>
      </w:pPr>
      <w:r>
        <w:rPr>
          <w:rFonts w:ascii="Calibri" w:hAnsi="Calibri" w:cs="Calibri"/>
          <w:color w:val="2B2723"/>
          <w:sz w:val="20"/>
          <w:szCs w:val="20"/>
        </w:rPr>
        <w:t xml:space="preserve">______________________________________________________</w:t>
      </w:r>
    </w:p>
    <w:p>
      <w:pPr>
        <w:keepNext/>
        <w:keepLines/>
        <w:spacing w:before="0" w:after="20" w:line="276" w:lineRule="auto"/>
        <w:jc w:val="left"/>
      </w:pPr>
      <w:r>
        <w:rPr>
          <w:rFonts w:ascii="Consolas" w:hAnsi="Consolas" w:cs="Consolas"/>
          <w:color w:val="8B6449"/>
          <w:sz w:val="14"/>
          <w:szCs w:val="14"/>
        </w:rPr>
        <w:t xml:space="preserve">FIADOR</w:t>
      </w:r>
    </w:p>
    <w:p>
      <w:pPr>
        <w:keepNext/>
        <w:keepLines/>
        <w:spacing w:before="0" w:after="120" w:line="276" w:lineRule="auto"/>
        <w:jc w:val="left"/>
      </w:pPr>
      <w:r>
        <w:rPr>
          <w:rFonts w:ascii="Calibri" w:hAnsi="Calibri" w:cs="Calibri"/>
          <w:color w:val="2B2723"/>
          <w:sz w:val="18"/>
          <w:szCs w:val="18"/>
        </w:rPr>
        <w:t xml:space="preserve">Guilherme Trindade Turano — CPF 011.689.716-23</w:t>
      </w:r>
    </w:p>
    <w:p>
      <w:pPr>
        <w:keepNext/>
        <w:keepLines/>
        <w:spacing w:before="280" w:after="40" w:line="276" w:lineRule="auto"/>
        <w:jc w:val="left"/>
      </w:pPr>
      <w:r>
        <w:rPr>
          <w:rFonts w:ascii="Calibri" w:hAnsi="Calibri" w:cs="Calibri"/>
          <w:color w:val="2B2723"/>
          <w:sz w:val="20"/>
          <w:szCs w:val="20"/>
        </w:rPr>
        <w:t xml:space="preserve">______________________________________________________</w:t>
      </w:r>
    </w:p>
    <w:p>
      <w:pPr>
        <w:keepNext/>
        <w:keepLines/>
        <w:spacing w:before="0" w:after="20" w:line="276" w:lineRule="auto"/>
        <w:jc w:val="left"/>
      </w:pPr>
      <w:r>
        <w:rPr>
          <w:rFonts w:ascii="Consolas" w:hAnsi="Consolas" w:cs="Consolas"/>
          <w:color w:val="8B6449"/>
          <w:sz w:val="14"/>
          <w:szCs w:val="14"/>
        </w:rPr>
        <w:t xml:space="preserve">CÔNJUGE DO FIADOR (ANUÊNCIA À FIANÇA)</w:t>
      </w:r>
    </w:p>
    <w:p>
      <w:pPr>
        <w:spacing w:before="0" w:after="120" w:line="276" w:lineRule="auto"/>
        <w:jc w:val="left"/>
      </w:pPr>
      <w:r>
        <w:rPr>
          <w:rFonts w:ascii="Calibri" w:hAnsi="Calibri" w:cs="Calibri"/>
          <w:color w:val="2B2723"/>
          <w:sz w:val="18"/>
          <w:szCs w:val="18"/>
        </w:rPr>
        <w:t xml:space="preserve">[nome] — CPF [_____]</w:t>
      </w:r>
    </w:p>
    <w:sectPr>
      <w:pgSz w:w="11906" w:h="16838"/>
      <w:pgMar w:top="1134" w:right="1134" w:bottom="1134" w:left="1134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2B2723"/>
        <w:sz w:val="20"/>
        <w:szCs w:val="20"/>
        <w:lang w:val="pt-BR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