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 w:val="center" w:pos="4153"/>
        </w:tabs>
        <w:spacing w:line="440" w:lineRule="exact"/>
        <w:jc w:val="center"/>
        <w:rPr>
          <w:rFonts w:ascii="仿宋_GB2312" w:hAnsi="华文仿宋" w:eastAsia="仿宋_GB2312"/>
          <w:b/>
          <w:sz w:val="36"/>
          <w:szCs w:val="32"/>
        </w:rPr>
      </w:pPr>
      <w:r>
        <w:rPr>
          <w:rFonts w:hint="eastAsia" w:ascii="仿宋_GB2312" w:hAnsi="华文仿宋" w:eastAsia="仿宋_GB2312"/>
          <w:b/>
          <w:sz w:val="36"/>
          <w:szCs w:val="32"/>
        </w:rPr>
        <w:t>资意见表</w:t>
      </w:r>
    </w:p>
    <w:p>
      <w:pPr>
        <w:tabs>
          <w:tab w:val="left" w:pos="720"/>
          <w:tab w:val="center" w:pos="4153"/>
        </w:tabs>
        <w:spacing w:line="440" w:lineRule="exact"/>
        <w:jc w:val="center"/>
        <w:rPr>
          <w:rFonts w:ascii="仿宋_GB2312" w:hAnsi="华文仿宋" w:eastAsia="仿宋_GB2312"/>
          <w:b/>
          <w:szCs w:val="21"/>
        </w:rPr>
      </w:pPr>
      <w:r>
        <w:rPr>
          <w:rFonts w:hint="eastAsia" w:ascii="仿宋_GB2312" w:hAnsi="华文仿宋" w:eastAsia="仿宋_GB2312"/>
          <w:b/>
          <w:szCs w:val="21"/>
        </w:rPr>
        <w:t>编号：（202</w:t>
      </w:r>
      <w:r>
        <w:rPr>
          <w:rFonts w:ascii="仿宋_GB2312" w:hAnsi="华文仿宋" w:eastAsia="仿宋_GB2312"/>
          <w:b/>
          <w:szCs w:val="21"/>
        </w:rPr>
        <w:t>3</w:t>
      </w:r>
      <w:r>
        <w:rPr>
          <w:rFonts w:hint="eastAsia" w:ascii="仿宋_GB2312" w:hAnsi="华文仿宋" w:eastAsia="仿宋_GB2312"/>
          <w:b/>
          <w:szCs w:val="21"/>
        </w:rPr>
        <w:t>）年     号</w:t>
      </w:r>
    </w:p>
    <w:tbl>
      <w:tblPr>
        <w:tblStyle w:val="11"/>
        <w:tblW w:w="8325"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3210"/>
        <w:gridCol w:w="1935"/>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620" w:type="dxa"/>
            <w:vAlign w:val="center"/>
          </w:tcPr>
          <w:p>
            <w:pPr>
              <w:spacing w:line="360" w:lineRule="auto"/>
              <w:jc w:val="center"/>
              <w:rPr>
                <w:rFonts w:ascii="仿宋_GB2312" w:hAnsi="华文仿宋" w:eastAsia="仿宋_GB2312"/>
                <w:b/>
                <w:sz w:val="24"/>
              </w:rPr>
            </w:pPr>
            <w:r>
              <w:rPr>
                <w:rFonts w:hint="eastAsia" w:ascii="仿宋_GB2312" w:hAnsi="华文仿宋" w:eastAsia="仿宋_GB2312"/>
                <w:b/>
                <w:sz w:val="24"/>
              </w:rPr>
              <w:t>项目名称</w:t>
            </w:r>
          </w:p>
        </w:tc>
        <w:tc>
          <w:tcPr>
            <w:tcW w:w="3210" w:type="dxa"/>
            <w:vAlign w:val="center"/>
          </w:tcPr>
          <w:p>
            <w:pPr>
              <w:spacing w:line="360" w:lineRule="auto"/>
              <w:jc w:val="left"/>
              <w:rPr>
                <w:rFonts w:ascii="仿宋_GB2312" w:hAnsi="华文仿宋" w:eastAsia="仿宋_GB2312"/>
                <w:sz w:val="22"/>
                <w:szCs w:val="22"/>
              </w:rPr>
            </w:pPr>
            <w:r>
              <w:rPr>
                <w:rFonts w:hint="eastAsia" w:ascii="仿宋" w:hAnsi="仿宋" w:eastAsia="仿宋" w:cs="仿宋"/>
                <w:sz w:val="22"/>
                <w:szCs w:val="22"/>
              </w:rPr>
              <w:t>甘肃金融控股集团有限公司二级市场存续债券</w:t>
            </w:r>
          </w:p>
        </w:tc>
        <w:tc>
          <w:tcPr>
            <w:tcW w:w="1935" w:type="dxa"/>
            <w:vAlign w:val="center"/>
          </w:tcPr>
          <w:p>
            <w:pPr>
              <w:spacing w:line="360" w:lineRule="auto"/>
              <w:jc w:val="left"/>
              <w:rPr>
                <w:rFonts w:ascii="仿宋_GB2312" w:hAnsi="华文仿宋" w:eastAsia="仿宋_GB2312"/>
                <w:sz w:val="24"/>
                <w:lang w:val="en-GB"/>
              </w:rPr>
            </w:pPr>
            <w:r>
              <w:rPr>
                <w:rFonts w:hint="eastAsia" w:ascii="仿宋_GB2312" w:hAnsi="华文仿宋" w:eastAsia="仿宋_GB2312"/>
                <w:b/>
                <w:sz w:val="24"/>
                <w:lang w:val="en-GB"/>
              </w:rPr>
              <w:t>项目汇报人</w:t>
            </w:r>
          </w:p>
        </w:tc>
        <w:tc>
          <w:tcPr>
            <w:tcW w:w="1560" w:type="dxa"/>
            <w:vAlign w:val="center"/>
          </w:tcPr>
          <w:p>
            <w:pPr>
              <w:spacing w:line="360" w:lineRule="auto"/>
              <w:jc w:val="left"/>
              <w:rPr>
                <w:rFonts w:hint="eastAsia" w:ascii="仿宋_GB2312" w:hAnsi="华文仿宋" w:eastAsia="仿宋_GB231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1620" w:type="dxa"/>
            <w:vAlign w:val="center"/>
          </w:tcPr>
          <w:p>
            <w:pPr>
              <w:spacing w:line="360" w:lineRule="auto"/>
              <w:jc w:val="center"/>
              <w:rPr>
                <w:rFonts w:ascii="仿宋_GB2312" w:hAnsi="华文仿宋" w:eastAsia="仿宋_GB2312"/>
                <w:b/>
                <w:sz w:val="24"/>
              </w:rPr>
            </w:pPr>
            <w:r>
              <w:rPr>
                <w:rFonts w:hint="eastAsia" w:ascii="仿宋_GB2312" w:hAnsi="华文仿宋" w:eastAsia="仿宋_GB2312"/>
                <w:b/>
                <w:sz w:val="24"/>
              </w:rPr>
              <w:t>参加人员</w:t>
            </w:r>
          </w:p>
        </w:tc>
        <w:tc>
          <w:tcPr>
            <w:tcW w:w="3210" w:type="dxa"/>
            <w:vAlign w:val="center"/>
          </w:tcPr>
          <w:p>
            <w:pPr>
              <w:spacing w:line="360" w:lineRule="auto"/>
              <w:jc w:val="left"/>
              <w:rPr>
                <w:rFonts w:ascii="仿宋_GB2312" w:hAnsi="华文仿宋" w:eastAsia="仿宋"/>
                <w:sz w:val="24"/>
              </w:rPr>
            </w:pPr>
          </w:p>
        </w:tc>
        <w:tc>
          <w:tcPr>
            <w:tcW w:w="1935" w:type="dxa"/>
            <w:vAlign w:val="center"/>
          </w:tcPr>
          <w:p>
            <w:pPr>
              <w:spacing w:line="360" w:lineRule="auto"/>
              <w:jc w:val="left"/>
              <w:rPr>
                <w:rFonts w:ascii="仿宋_GB2312" w:hAnsi="华文仿宋" w:eastAsia="仿宋_GB2312"/>
                <w:sz w:val="24"/>
              </w:rPr>
            </w:pPr>
            <w:r>
              <w:rPr>
                <w:rFonts w:hint="eastAsia" w:ascii="仿宋_GB2312" w:hAnsi="华文仿宋" w:eastAsia="仿宋_GB2312"/>
                <w:b/>
                <w:sz w:val="24"/>
              </w:rPr>
              <w:t>项目评审时间</w:t>
            </w:r>
          </w:p>
        </w:tc>
        <w:tc>
          <w:tcPr>
            <w:tcW w:w="1560" w:type="dxa"/>
            <w:vAlign w:val="center"/>
          </w:tcPr>
          <w:p>
            <w:pPr>
              <w:spacing w:line="360" w:lineRule="auto"/>
              <w:jc w:val="left"/>
              <w:rPr>
                <w:rFonts w:ascii="仿宋_GB2312" w:hAnsi="华文仿宋" w:eastAsia="仿宋"/>
                <w:sz w:val="24"/>
              </w:rPr>
            </w:pPr>
            <w:r>
              <w:rPr>
                <w:rFonts w:hint="eastAsia" w:ascii="仿宋_GB2312" w:hAnsi="华文仿宋" w:eastAsia="仿宋"/>
                <w:sz w:val="22"/>
                <w:szCs w:val="22"/>
              </w:rPr>
              <w:t>202</w:t>
            </w:r>
            <w:r>
              <w:rPr>
                <w:rFonts w:ascii="仿宋_GB2312" w:hAnsi="华文仿宋" w:eastAsia="仿宋"/>
                <w:sz w:val="22"/>
                <w:szCs w:val="22"/>
              </w:rPr>
              <w:t>3-08-17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8325" w:type="dxa"/>
            <w:gridSpan w:val="4"/>
            <w:vAlign w:val="center"/>
          </w:tcPr>
          <w:p>
            <w:pPr>
              <w:spacing w:line="360" w:lineRule="auto"/>
              <w:ind w:firstLine="361" w:firstLineChars="150"/>
              <w:rPr>
                <w:rFonts w:ascii="仿宋_GB2312" w:hAnsi="华文仿宋" w:eastAsia="仿宋_GB2312"/>
                <w:sz w:val="24"/>
                <w:lang w:val="en-GB"/>
              </w:rPr>
            </w:pPr>
            <w:r>
              <w:rPr>
                <w:rFonts w:hint="eastAsia" w:ascii="仿宋_GB2312" w:hAnsi="华文仿宋" w:eastAsia="仿宋_GB2312"/>
                <w:b/>
                <w:sz w:val="24"/>
              </w:rPr>
              <w:t>主持人</w:t>
            </w:r>
            <w:r>
              <w:rPr>
                <w:rFonts w:ascii="仿宋_GB2312" w:hAnsi="华文仿宋" w:eastAsia="仿宋_GB2312"/>
                <w:b/>
                <w:sz w:val="24"/>
                <w:lang w:val="en-GB"/>
              </w:rPr>
              <w:t xml:space="preserve">:                          </w:t>
            </w:r>
            <w:r>
              <w:rPr>
                <w:rFonts w:hint="eastAsia" w:ascii="仿宋_GB2312" w:hAnsi="华文仿宋" w:eastAsia="仿宋_GB2312"/>
                <w:b/>
                <w:sz w:val="24"/>
              </w:rPr>
              <w:t>记录人</w:t>
            </w:r>
            <w:r>
              <w:rPr>
                <w:rFonts w:ascii="仿宋_GB2312" w:hAnsi="华文仿宋" w:eastAsia="仿宋_GB2312"/>
                <w:b/>
                <w:sz w:val="24"/>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0" w:hRule="atLeast"/>
        </w:trPr>
        <w:tc>
          <w:tcPr>
            <w:tcW w:w="8325" w:type="dxa"/>
            <w:gridSpan w:val="4"/>
            <w:vAlign w:val="center"/>
          </w:tcPr>
          <w:p>
            <w:pPr>
              <w:rPr>
                <w:rFonts w:ascii="仿宋" w:hAnsi="仿宋" w:eastAsia="仿宋" w:cs="仿宋"/>
                <w:b/>
                <w:bCs/>
                <w:sz w:val="24"/>
              </w:rPr>
            </w:pPr>
            <w:r>
              <w:rPr>
                <w:rFonts w:hint="eastAsia" w:ascii="仿宋" w:hAnsi="仿宋" w:eastAsia="仿宋" w:cs="仿宋"/>
                <w:b/>
                <w:bCs/>
                <w:sz w:val="24"/>
              </w:rPr>
              <w:t>项目要素：</w:t>
            </w:r>
          </w:p>
          <w:p>
            <w:pPr>
              <w:rPr>
                <w:rFonts w:ascii="仿宋" w:hAnsi="仿宋" w:eastAsia="仿宋" w:cs="仿宋"/>
                <w:sz w:val="22"/>
                <w:szCs w:val="22"/>
              </w:rPr>
            </w:pPr>
            <w:r>
              <w:rPr>
                <w:rFonts w:hint="eastAsia" w:ascii="仿宋" w:hAnsi="仿宋" w:eastAsia="仿宋" w:cs="仿宋"/>
                <w:sz w:val="22"/>
                <w:szCs w:val="22"/>
              </w:rPr>
              <w:t xml:space="preserve">1.融资主体: 甘肃金融控股集团有限公司 </w:t>
            </w:r>
            <w:r>
              <w:rPr>
                <w:rFonts w:ascii="仿宋" w:hAnsi="仿宋" w:eastAsia="仿宋" w:cs="仿宋"/>
                <w:sz w:val="22"/>
                <w:szCs w:val="22"/>
              </w:rPr>
              <w:t xml:space="preserve"> </w:t>
            </w:r>
            <w:r>
              <w:rPr>
                <w:rFonts w:hint="eastAsia" w:ascii="仿宋" w:hAnsi="仿宋" w:eastAsia="仿宋" w:cs="仿宋"/>
                <w:sz w:val="22"/>
                <w:szCs w:val="22"/>
              </w:rPr>
              <w:t>2.上报额度：</w:t>
            </w:r>
            <w:r>
              <w:rPr>
                <w:rFonts w:ascii="仿宋" w:hAnsi="仿宋" w:eastAsia="仿宋" w:cs="仿宋"/>
                <w:sz w:val="22"/>
                <w:szCs w:val="22"/>
              </w:rPr>
              <w:t>1</w:t>
            </w:r>
            <w:r>
              <w:rPr>
                <w:rFonts w:hint="eastAsia" w:ascii="仿宋" w:hAnsi="仿宋" w:eastAsia="仿宋" w:cs="仿宋"/>
                <w:sz w:val="22"/>
                <w:szCs w:val="22"/>
              </w:rPr>
              <w:t>0</w:t>
            </w:r>
            <w:r>
              <w:rPr>
                <w:rFonts w:ascii="仿宋" w:hAnsi="仿宋" w:eastAsia="仿宋" w:cs="仿宋"/>
                <w:sz w:val="22"/>
                <w:szCs w:val="22"/>
              </w:rPr>
              <w:t>000</w:t>
            </w:r>
            <w:r>
              <w:rPr>
                <w:rFonts w:hint="eastAsia" w:ascii="仿宋" w:hAnsi="仿宋" w:eastAsia="仿宋" w:cs="仿宋"/>
                <w:sz w:val="22"/>
                <w:szCs w:val="22"/>
              </w:rPr>
              <w:t>万</w:t>
            </w:r>
            <w:r>
              <w:rPr>
                <w:rFonts w:ascii="仿宋" w:hAnsi="仿宋" w:eastAsia="仿宋" w:cs="仿宋"/>
                <w:sz w:val="22"/>
                <w:szCs w:val="22"/>
              </w:rPr>
              <w:t>元</w:t>
            </w:r>
          </w:p>
          <w:p>
            <w:pPr>
              <w:rPr>
                <w:rFonts w:hint="eastAsia" w:ascii="仿宋" w:hAnsi="仿宋" w:eastAsia="仿宋" w:cs="仿宋"/>
                <w:sz w:val="22"/>
                <w:szCs w:val="22"/>
              </w:rPr>
            </w:pPr>
            <w:r>
              <w:rPr>
                <w:rFonts w:hint="eastAsia" w:ascii="仿宋" w:hAnsi="仿宋" w:eastAsia="仿宋" w:cs="仿宋"/>
                <w:sz w:val="22"/>
                <w:szCs w:val="22"/>
              </w:rPr>
              <w:t xml:space="preserve">3.簿记时间: </w:t>
            </w:r>
            <w:r>
              <w:rPr>
                <w:rFonts w:ascii="仿宋" w:hAnsi="仿宋" w:eastAsia="仿宋" w:cs="仿宋"/>
                <w:sz w:val="22"/>
                <w:szCs w:val="22"/>
              </w:rPr>
              <w:t>/</w:t>
            </w:r>
            <w:r>
              <w:rPr>
                <w:rFonts w:hint="eastAsia" w:ascii="仿宋" w:hAnsi="仿宋" w:eastAsia="仿宋" w:cs="仿宋"/>
                <w:sz w:val="22"/>
                <w:szCs w:val="22"/>
              </w:rPr>
              <w:t xml:space="preserve">                             4.主体评级：</w:t>
            </w:r>
            <w:r>
              <w:rPr>
                <w:rFonts w:ascii="仿宋" w:hAnsi="仿宋" w:eastAsia="仿宋" w:cs="仿宋"/>
                <w:sz w:val="22"/>
                <w:szCs w:val="22"/>
              </w:rPr>
              <w:t xml:space="preserve"> AA</w:t>
            </w:r>
            <w:r>
              <w:rPr>
                <w:rFonts w:hint="eastAsia" w:ascii="仿宋" w:hAnsi="仿宋" w:eastAsia="仿宋" w:cs="仿宋"/>
                <w:sz w:val="22"/>
                <w:szCs w:val="22"/>
              </w:rPr>
              <w:t>A（</w:t>
            </w:r>
            <w:r>
              <w:rPr>
                <w:rFonts w:ascii="仿宋" w:hAnsi="仿宋" w:eastAsia="仿宋" w:cs="仿宋"/>
                <w:sz w:val="22"/>
                <w:szCs w:val="22"/>
              </w:rPr>
              <w:t>中债隐AA</w:t>
            </w:r>
            <w:r>
              <w:rPr>
                <w:rFonts w:hint="eastAsia" w:ascii="仿宋" w:hAnsi="仿宋" w:eastAsia="仿宋" w:cs="仿宋"/>
                <w:sz w:val="22"/>
                <w:szCs w:val="22"/>
              </w:rPr>
              <w:t>）</w:t>
            </w:r>
          </w:p>
          <w:p>
            <w:pPr>
              <w:rPr>
                <w:rFonts w:ascii="仿宋" w:hAnsi="仿宋" w:eastAsia="仿宋" w:cs="仿宋"/>
                <w:sz w:val="22"/>
                <w:szCs w:val="22"/>
              </w:rPr>
            </w:pPr>
            <w:r>
              <w:rPr>
                <w:rFonts w:hint="eastAsia" w:ascii="仿宋" w:hAnsi="仿宋" w:eastAsia="仿宋" w:cs="仿宋"/>
                <w:sz w:val="22"/>
                <w:szCs w:val="22"/>
              </w:rPr>
              <w:t>5.投资期限: 不超过</w:t>
            </w:r>
            <w:r>
              <w:rPr>
                <w:rFonts w:ascii="仿宋" w:hAnsi="仿宋" w:eastAsia="仿宋" w:cs="仿宋"/>
                <w:sz w:val="22"/>
                <w:szCs w:val="22"/>
              </w:rPr>
              <w:t>2</w:t>
            </w:r>
            <w:r>
              <w:rPr>
                <w:rFonts w:hint="eastAsia" w:ascii="仿宋" w:hAnsi="仿宋" w:eastAsia="仿宋" w:cs="仿宋"/>
                <w:sz w:val="22"/>
                <w:szCs w:val="22"/>
              </w:rPr>
              <w:t>年                    6.增信措施：/</w:t>
            </w:r>
          </w:p>
          <w:p>
            <w:pPr>
              <w:rPr>
                <w:rFonts w:ascii="仿宋" w:hAnsi="仿宋" w:eastAsia="仿宋" w:cs="仿宋"/>
                <w:sz w:val="22"/>
                <w:szCs w:val="22"/>
              </w:rPr>
            </w:pPr>
            <w:r>
              <w:rPr>
                <w:rFonts w:hint="eastAsia" w:ascii="仿宋" w:hAnsi="仿宋" w:eastAsia="仿宋" w:cs="仿宋"/>
                <w:sz w:val="22"/>
                <w:szCs w:val="22"/>
              </w:rPr>
              <w:t>7.债券主承/联席：/</w:t>
            </w:r>
            <w:r>
              <w:rPr>
                <w:rFonts w:ascii="仿宋" w:hAnsi="仿宋" w:eastAsia="仿宋" w:cs="仿宋"/>
                <w:sz w:val="22"/>
                <w:szCs w:val="22"/>
              </w:rPr>
              <w:t xml:space="preserve">  </w:t>
            </w:r>
            <w:r>
              <w:rPr>
                <w:rFonts w:hint="eastAsia" w:ascii="仿宋" w:hAnsi="仿宋" w:eastAsia="仿宋" w:cs="仿宋"/>
                <w:sz w:val="22"/>
                <w:szCs w:val="22"/>
              </w:rPr>
              <w:t xml:space="preserve">      8.发行市场：/</w:t>
            </w:r>
            <w:r>
              <w:rPr>
                <w:rFonts w:ascii="仿宋" w:hAnsi="仿宋" w:eastAsia="仿宋" w:cs="仿宋"/>
                <w:sz w:val="22"/>
                <w:szCs w:val="22"/>
              </w:rPr>
              <w:t xml:space="preserve"> </w:t>
            </w:r>
          </w:p>
          <w:p>
            <w:pPr>
              <w:rPr>
                <w:rFonts w:ascii="仿宋" w:hAnsi="仿宋" w:eastAsia="仿宋" w:cs="仿宋"/>
                <w:szCs w:val="21"/>
              </w:rPr>
            </w:pPr>
            <w:r>
              <w:rPr>
                <w:rFonts w:hint="eastAsia" w:ascii="仿宋" w:hAnsi="仿宋" w:eastAsia="仿宋" w:cs="仿宋"/>
                <w:sz w:val="22"/>
                <w:szCs w:val="22"/>
              </w:rPr>
              <w:t>9.</w:t>
            </w:r>
            <w:r>
              <w:rPr>
                <w:rFonts w:hint="eastAsia"/>
              </w:rPr>
              <w:t xml:space="preserve"> </w:t>
            </w:r>
            <w:r>
              <w:rPr>
                <w:rFonts w:hint="eastAsia" w:ascii="仿宋" w:hAnsi="仿宋" w:eastAsia="仿宋" w:cs="仿宋"/>
                <w:szCs w:val="21"/>
              </w:rPr>
              <w:t>申请以理财资金投资甘肃金融控股集团有限公司在二级市场存续债券票面本金10000万元，剩余期限不超过2年，投资非永续债券。</w:t>
            </w:r>
          </w:p>
          <w:p>
            <w:pPr>
              <w:rPr>
                <w:rFonts w:hint="eastAsia"/>
              </w:rPr>
            </w:pPr>
            <w:r>
              <w:rPr>
                <w:rFonts w:hint="eastAsia" w:ascii="仿宋" w:hAnsi="仿宋" w:eastAsia="仿宋" w:cs="仿宋"/>
                <w:szCs w:val="21"/>
              </w:rPr>
              <w:t>10.我行</w:t>
            </w:r>
            <w:r>
              <w:rPr>
                <w:rFonts w:ascii="仿宋" w:hAnsi="仿宋" w:eastAsia="仿宋" w:cs="仿宋"/>
                <w:szCs w:val="21"/>
              </w:rPr>
              <w:t>曾与兰银金租开展业务合作，兰银金租原为</w:t>
            </w:r>
            <w:r>
              <w:rPr>
                <w:rFonts w:hint="eastAsia" w:ascii="仿宋" w:hAnsi="仿宋" w:eastAsia="仿宋" w:cs="仿宋"/>
                <w:szCs w:val="21"/>
              </w:rPr>
              <w:t>甘肃</w:t>
            </w:r>
            <w:r>
              <w:rPr>
                <w:rFonts w:ascii="仿宋" w:hAnsi="仿宋" w:eastAsia="仿宋" w:cs="仿宋"/>
                <w:szCs w:val="21"/>
              </w:rPr>
              <w:t>省金控控股，后</w:t>
            </w:r>
            <w:r>
              <w:rPr>
                <w:rFonts w:hint="eastAsia" w:ascii="仿宋" w:hAnsi="仿宋" w:eastAsia="仿宋" w:cs="仿宋"/>
                <w:szCs w:val="21"/>
              </w:rPr>
              <w:t>转为</w:t>
            </w:r>
            <w:r>
              <w:rPr>
                <w:rFonts w:ascii="仿宋" w:hAnsi="仿宋" w:eastAsia="仿宋" w:cs="仿宋"/>
                <w:szCs w:val="21"/>
              </w:rPr>
              <w:t>兰州银行控股</w:t>
            </w:r>
            <w:r>
              <w:rPr>
                <w:rFonts w:hint="eastAsia" w:ascii="仿宋" w:hAnsi="仿宋" w:eastAsia="仿宋" w:cs="仿宋"/>
                <w:szCs w:val="21"/>
              </w:rPr>
              <w:t>，甘肃</w:t>
            </w:r>
            <w:r>
              <w:rPr>
                <w:rFonts w:ascii="仿宋" w:hAnsi="仿宋" w:eastAsia="仿宋" w:cs="仿宋"/>
                <w:szCs w:val="21"/>
              </w:rPr>
              <w:t>省金控</w:t>
            </w:r>
            <w:r>
              <w:rPr>
                <w:rFonts w:hint="eastAsia" w:ascii="仿宋" w:hAnsi="仿宋" w:eastAsia="仿宋" w:cs="仿宋"/>
                <w:szCs w:val="21"/>
              </w:rPr>
              <w:t>全资</w:t>
            </w:r>
            <w:r>
              <w:rPr>
                <w:rFonts w:ascii="仿宋" w:hAnsi="仿宋" w:eastAsia="仿宋" w:cs="仿宋"/>
                <w:szCs w:val="21"/>
              </w:rPr>
              <w:t>控股了陇原融资租赁（平潭）有限公司，该公司成立于</w:t>
            </w:r>
            <w:r>
              <w:rPr>
                <w:rFonts w:hint="eastAsia" w:ascii="仿宋" w:hAnsi="仿宋" w:eastAsia="仿宋" w:cs="仿宋"/>
                <w:szCs w:val="21"/>
              </w:rPr>
              <w:t>2019年1月</w:t>
            </w:r>
            <w:r>
              <w:rPr>
                <w:rFonts w:ascii="仿宋" w:hAnsi="仿宋" w:eastAsia="仿宋" w:cs="仿宋"/>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8325" w:type="dxa"/>
            <w:gridSpan w:val="4"/>
            <w:vAlign w:val="center"/>
          </w:tcPr>
          <w:p>
            <w:pPr>
              <w:spacing w:line="360" w:lineRule="auto"/>
              <w:jc w:val="left"/>
              <w:rPr>
                <w:rFonts w:ascii="仿宋_GB2312" w:hAnsi="华文仿宋" w:eastAsia="仿宋_GB2312"/>
                <w:b/>
                <w:color w:val="FF0000"/>
                <w:sz w:val="24"/>
              </w:rPr>
            </w:pPr>
            <w:r>
              <w:rPr>
                <w:rFonts w:hint="eastAsia" w:ascii="仿宋_GB2312" w:hAnsi="华文仿宋" w:eastAsia="仿宋_GB2312"/>
                <w:b/>
                <w:color w:val="FF0000"/>
                <w:sz w:val="24"/>
              </w:rPr>
              <w:t>项目分析：</w:t>
            </w:r>
          </w:p>
          <w:p>
            <w:r>
              <w:rPr>
                <w:rFonts w:hint="eastAsia"/>
              </w:rPr>
              <w:t>1、【区域经济状况】：</w:t>
            </w:r>
          </w:p>
          <w:p>
            <w:pPr>
              <w:rPr>
                <w:rFonts w:hint="eastAsia"/>
              </w:rPr>
            </w:pPr>
            <w:r>
              <w:rPr>
                <w:rFonts w:hint="eastAsia"/>
              </w:rPr>
              <w:t>2022年甘肃全省实现生产总值11,201.6亿元，增长4.5%。一般公共预算收入907.6亿元，增长4.9%。其中，税收收入582.7亿元，非税收入324.8亿元。一般公共预算支出4263.5亿元，增长5.7%。</w:t>
            </w:r>
          </w:p>
          <w:p>
            <w:r>
              <w:rPr>
                <w:rFonts w:hint="eastAsia"/>
              </w:rPr>
              <w:t>年末全省金融机构本外币各项存款余额2</w:t>
            </w:r>
            <w:r>
              <w:t>.49</w:t>
            </w:r>
            <w:r>
              <w:rPr>
                <w:rFonts w:hint="eastAsia"/>
              </w:rPr>
              <w:t>万亿，增长10.1%；各项贷款余额</w:t>
            </w:r>
            <w:r>
              <w:t>2.54</w:t>
            </w:r>
            <w:r>
              <w:rPr>
                <w:rFonts w:hint="eastAsia"/>
              </w:rPr>
              <w:t>万亿，增长6.2%。</w:t>
            </w:r>
          </w:p>
          <w:p>
            <w:pPr>
              <w:rPr>
                <w:color w:val="FF0000"/>
              </w:rPr>
            </w:pPr>
            <w:r>
              <w:rPr>
                <w:rFonts w:hint="eastAsia"/>
                <w:color w:val="FF0000"/>
              </w:rPr>
              <w:t>2、【发行人业务情况】：主要从事淮安市国有资产运营及淮安市基础设施建设、土地开发等业务。是淮安市重要的基建投融资和国有资产运营主体，投属性明显。截至2022年末，总资产1422亿，公司在淮安市资产排名第2/36名，淮安市唯一的AAA级平台（2023年6月提升）。主营业务收入：54亿元。其中委托代建：19亿/35%，土地整理：9.3亿/17%，房产销售：14亿/26%。应收账款前三名：江苏淮安工业园区管理委员会（33.73亿,占比42.11%）,淮安市保障性住房建设管理中心（9.16亿，占比11.78%）、淮安市人民政府(7.7亿，占比9.84%)</w:t>
            </w:r>
          </w:p>
          <w:p>
            <w:pPr>
              <w:rPr>
                <w:color w:val="FF0000"/>
              </w:rPr>
            </w:pPr>
            <w:r>
              <w:rPr>
                <w:rFonts w:hint="eastAsia"/>
                <w:color w:val="FF0000"/>
              </w:rPr>
              <w:t>3、【评级】:东方金城、大公：AAA，YY评分：5分，中债隐含：AA，2023年6月评级从AA+提升到AAA，主要原因：2022年增持7.07%的股份后，并表淮安金发控股，净资产增加50亿元左右，营业额，营业利润增加2亿元左右。2023年5月淮安市国资委同意将淮安市政府持有的淮安交通股权的 30%（43.</w:t>
            </w:r>
            <w:r>
              <w:rPr>
                <w:color w:val="FF0000"/>
              </w:rPr>
              <w:t>04</w:t>
            </w:r>
            <w:r>
              <w:rPr>
                <w:rFonts w:hint="eastAsia"/>
                <w:color w:val="FF0000"/>
              </w:rPr>
              <w:t>亿元）无偿划转至公司。</w:t>
            </w:r>
          </w:p>
          <w:p>
            <w:pPr>
              <w:rPr>
                <w:color w:val="FF0000"/>
              </w:rPr>
            </w:pPr>
            <w:r>
              <w:rPr>
                <w:rFonts w:hint="eastAsia"/>
                <w:color w:val="FF0000"/>
              </w:rPr>
              <w:t>4、【股东和法人情况】:淮安市人民政府持股100%（注册资本307.40亿）。董事长：孙邦宾,男,1967年10月出生, 1990年8月起先后任淮阴市人防办工程科办事员,市人防设计室副主任、主任,市人防工程建筑公司经理,市人防办工程科科长;2000年4月起先后任淮阴(淮安)市人防办工程科科长、团委书记,市人防办工程处处长;2004年4月任淮安市人防办党组成员、总工程师;2009年9月任淮安市人防办(民防局)副主任(副局长)、党组成员、总工程师;2010年4月任淮安市民防局(人防办)副局长(副主任)、党组成员、总工程师;2014年7月任淮安市规划局副局长、党组成员;2017年6月任淮安新城投资开发有限公司董事长、党组成员。现任淮安市国有联合投资发展集团有限公司董事长、淮安市城市资产经营有限公司董事长。</w:t>
            </w:r>
          </w:p>
          <w:p>
            <w:pPr>
              <w:rPr>
                <w:color w:val="FF0000"/>
              </w:rPr>
            </w:pPr>
            <w:r>
              <w:rPr>
                <w:rFonts w:hint="eastAsia"/>
                <w:color w:val="FF0000"/>
              </w:rPr>
              <w:t>5、【财务情况】：2022年3月末，总资产1431亿，负债771亿，资产负债率：54%。2020-2022年度，营业收入分别为：41亿，49亿，54亿。2023年1季度，营业收入8.7亿。期主要收入来源为委托代建，工程施工和土地整理。合计占比超50%以上。其余为房产销售（20%左右）和安保、担保，租赁等。2020-2022年度和2023年一季度，筹资活动现金流入为：238亿，386亿，327亿，71亿，流出为254亿，345亿，347亿，53亿，筹资现金流净额为：-17亿，40亿，-20亿，17亿。</w:t>
            </w:r>
          </w:p>
          <w:p>
            <w:pPr>
              <w:rPr>
                <w:color w:val="FF0000"/>
              </w:rPr>
            </w:pPr>
            <w:r>
              <w:rPr>
                <w:rFonts w:hint="eastAsia"/>
                <w:color w:val="FF0000"/>
              </w:rPr>
              <w:t>6、【有息负债结构】：截至2023年3月末，发行人有息负债余额636亿元，1年内到期232亿元，占比36%）。其中银行借款247亿，1年期以上直接融资213亿（债券为主，其余包括北金所债权融资计划和理财直融），租赁融资20亿，其余1年内到期非流动负债152亿。非标（其他应付款+长期应付款）合计85亿，占比11%。</w:t>
            </w:r>
          </w:p>
          <w:p>
            <w:pPr>
              <w:rPr>
                <w:color w:val="FF0000"/>
              </w:rPr>
            </w:pPr>
            <w:r>
              <w:rPr>
                <w:rFonts w:hint="eastAsia"/>
                <w:color w:val="FF0000"/>
              </w:rPr>
              <w:tab/>
            </w:r>
            <w:r>
              <w:rPr>
                <w:rFonts w:hint="eastAsia"/>
                <w:color w:val="FF0000"/>
              </w:rPr>
              <w:t>发行人总获得银行授信额度560亿，已使用298亿，未使用262亿。非受限货币资金61.7亿元，对短期债务覆盖率30%左右；截至2023年3月末，除担保子公司外（担保子公司2022年末的融资性担保在保余额为 122.83 亿元，在保客户为 1157 户，以国有企业为主），公司对外担保余额为</w:t>
            </w:r>
            <w:r>
              <w:rPr>
                <w:color w:val="FF0000"/>
              </w:rPr>
              <w:t>29</w:t>
            </w:r>
            <w:r>
              <w:rPr>
                <w:rFonts w:hint="eastAsia"/>
                <w:color w:val="FF0000"/>
              </w:rPr>
              <w:t>.</w:t>
            </w:r>
            <w:r>
              <w:rPr>
                <w:color w:val="FF0000"/>
              </w:rPr>
              <w:t>50</w:t>
            </w:r>
            <w:r>
              <w:rPr>
                <w:rFonts w:hint="eastAsia"/>
                <w:color w:val="FF0000"/>
              </w:rPr>
              <w:t>亿元，被担保对象主要为区域内国有企业。</w:t>
            </w:r>
          </w:p>
          <w:p>
            <w:pPr>
              <w:rPr>
                <w:color w:val="FF0000"/>
              </w:rPr>
            </w:pPr>
            <w:r>
              <w:rPr>
                <w:rFonts w:hint="eastAsia"/>
                <w:color w:val="FF0000"/>
              </w:rPr>
              <w:t>7、【存量债券情况】：截至2023年7月13日，存续债券27只，198亿元。2年期以内的债券收益率在2.5%-3.5%之间。信用利差较全国AAA城投平台利差高10bp左右，较江苏省AAA平台利差高20BP左右。2-3Y的存量债券绝对收益在3.5%左右。</w:t>
            </w:r>
          </w:p>
          <w:p>
            <w:pPr>
              <w:ind w:firstLine="420" w:firstLineChars="200"/>
              <w:rPr>
                <w:color w:val="FF0000"/>
              </w:rPr>
            </w:pPr>
            <w:r>
              <w:rPr>
                <w:rFonts w:hint="eastAsia"/>
                <w:color w:val="FF0000"/>
              </w:rPr>
              <w:t>截至2023年7月，资管部淮安地区存续债券5只债券，共3.1亿，主要是开发区核心平台公司。</w:t>
            </w:r>
          </w:p>
          <w:p>
            <w:pPr>
              <w:rPr>
                <w:color w:val="FF0000"/>
              </w:rPr>
            </w:pPr>
            <w:r>
              <w:rPr>
                <w:rFonts w:hint="eastAsia"/>
                <w:color w:val="FF0000"/>
              </w:rPr>
              <w:t>另：2023年4月份发行 淮安市国有联合投资发展集团有限公司公司债券(第一期)，7Y期，规模9.</w:t>
            </w:r>
            <w:r>
              <w:rPr>
                <w:color w:val="FF0000"/>
              </w:rPr>
              <w:t>8</w:t>
            </w:r>
            <w:r>
              <w:rPr>
                <w:rFonts w:hint="eastAsia"/>
                <w:color w:val="FF0000"/>
              </w:rPr>
              <w:t>亿元，中债信用增进投资股份有限公司提供全额无条件不可撤销连带责任保证担保，最终票面3.8%。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0" w:hRule="atLeast"/>
        </w:trPr>
        <w:tc>
          <w:tcPr>
            <w:tcW w:w="8325" w:type="dxa"/>
            <w:gridSpan w:val="4"/>
            <w:vAlign w:val="center"/>
          </w:tcPr>
          <w:p>
            <w:pPr>
              <w:rPr>
                <w:b/>
                <w:bCs/>
              </w:rPr>
            </w:pPr>
            <w:r>
              <w:rPr>
                <w:rFonts w:hint="eastAsia"/>
                <w:b/>
                <w:bCs/>
              </w:rPr>
              <w:t>价格与配置分析：</w:t>
            </w:r>
          </w:p>
          <w:p>
            <w:r>
              <w:rPr>
                <w:rFonts w:hint="eastAsia" w:ascii="仿宋" w:hAnsi="仿宋" w:eastAsia="仿宋" w:cs="仿宋"/>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1" w:hRule="atLeast"/>
        </w:trPr>
        <w:tc>
          <w:tcPr>
            <w:tcW w:w="1620" w:type="dxa"/>
            <w:vAlign w:val="center"/>
          </w:tcPr>
          <w:p>
            <w:pPr>
              <w:spacing w:line="360" w:lineRule="auto"/>
              <w:rPr>
                <w:rFonts w:ascii="仿宋_GB2312" w:hAnsi="华文仿宋" w:eastAsia="仿宋_GB2312"/>
                <w:sz w:val="24"/>
              </w:rPr>
            </w:pPr>
            <w:r>
              <w:rPr>
                <w:rFonts w:hint="eastAsia" w:ascii="仿宋_GB2312" w:hAnsi="华文仿宋" w:eastAsia="仿宋_GB2312"/>
                <w:b/>
                <w:sz w:val="24"/>
              </w:rPr>
              <w:t>内评会意见</w:t>
            </w:r>
          </w:p>
        </w:tc>
        <w:tc>
          <w:tcPr>
            <w:tcW w:w="6705" w:type="dxa"/>
            <w:gridSpan w:val="3"/>
            <w:vAlign w:val="center"/>
          </w:tcPr>
          <w:p>
            <w:pPr>
              <w:spacing w:line="360" w:lineRule="auto"/>
              <w:rPr>
                <w:rFonts w:ascii="仿宋_GB2312" w:hAnsi="华文仿宋" w:eastAsia="仿宋_GB2312"/>
                <w:sz w:val="24"/>
              </w:rPr>
            </w:pPr>
            <w:r>
              <w:rPr>
                <w:rFonts w:hint="eastAsia" w:ascii="仿宋_GB2312" w:hAnsi="华文仿宋" w:eastAsia="仿宋_GB2312"/>
                <w:b/>
                <w:sz w:val="24"/>
              </w:rPr>
              <w:t>☑同意上报授信        □不同意上报授信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1" w:hRule="atLeast"/>
        </w:trPr>
        <w:tc>
          <w:tcPr>
            <w:tcW w:w="8325" w:type="dxa"/>
            <w:gridSpan w:val="4"/>
          </w:tcPr>
          <w:p>
            <w:pPr>
              <w:rPr>
                <w:rFonts w:ascii="华文仿宋" w:hAnsi="华文仿宋" w:eastAsia="华文仿宋"/>
                <w:b/>
                <w:sz w:val="24"/>
                <w:u w:val="single"/>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1" w:hRule="atLeast"/>
        </w:trPr>
        <w:tc>
          <w:tcPr>
            <w:tcW w:w="8325" w:type="dxa"/>
            <w:gridSpan w:val="4"/>
          </w:tcPr>
          <w:p>
            <w:pPr>
              <w:rPr>
                <w:rFonts w:ascii="华文仿宋" w:hAnsi="华文仿宋" w:eastAsia="华文仿宋"/>
                <w:b/>
                <w:sz w:val="24"/>
                <w:u w:val="single"/>
              </w:rPr>
            </w:pPr>
          </w:p>
        </w:tc>
      </w:tr>
    </w:tbl>
    <w:p>
      <w:pPr>
        <w:spacing w:line="360" w:lineRule="auto"/>
        <w:rPr>
          <w:rFonts w:ascii="华文仿宋" w:hAnsi="华文仿宋" w:eastAsia="华文仿宋"/>
          <w:b/>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PAGE   \* MERGEFORMAT</w:instrText>
    </w:r>
    <w:r>
      <w:fldChar w:fldCharType="separate"/>
    </w:r>
    <w:r>
      <w:rPr>
        <w:lang w:val="zh-CN"/>
      </w:rPr>
      <w:t>2</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7"/>
      <w:lvlText w:val="%1."/>
      <w:lvlJc w:val="left"/>
      <w:pPr>
        <w:tabs>
          <w:tab w:val="left" w:pos="1200"/>
        </w:tabs>
        <w:ind w:left="1200" w:leftChars="400" w:hanging="360" w:hangingChars="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xYjBjMjY5MDk2NGFkMzNhYWZjNWYzMTk3NjNjOTQifQ=="/>
  </w:docVars>
  <w:rsids>
    <w:rsidRoot w:val="002926DC"/>
    <w:rsid w:val="0001048F"/>
    <w:rsid w:val="00011A7E"/>
    <w:rsid w:val="00015FB5"/>
    <w:rsid w:val="00016D88"/>
    <w:rsid w:val="00020DFF"/>
    <w:rsid w:val="00021A0C"/>
    <w:rsid w:val="00023E5D"/>
    <w:rsid w:val="00026B87"/>
    <w:rsid w:val="0003189C"/>
    <w:rsid w:val="00032992"/>
    <w:rsid w:val="00034748"/>
    <w:rsid w:val="00034848"/>
    <w:rsid w:val="00034B79"/>
    <w:rsid w:val="000372A5"/>
    <w:rsid w:val="00037C77"/>
    <w:rsid w:val="000428DA"/>
    <w:rsid w:val="0004435E"/>
    <w:rsid w:val="00046C85"/>
    <w:rsid w:val="0005371C"/>
    <w:rsid w:val="000676C4"/>
    <w:rsid w:val="00077D3B"/>
    <w:rsid w:val="00077EB4"/>
    <w:rsid w:val="00080396"/>
    <w:rsid w:val="00082917"/>
    <w:rsid w:val="000869C3"/>
    <w:rsid w:val="0009180A"/>
    <w:rsid w:val="00091D83"/>
    <w:rsid w:val="00093715"/>
    <w:rsid w:val="000A5D72"/>
    <w:rsid w:val="000A6768"/>
    <w:rsid w:val="000B1911"/>
    <w:rsid w:val="000B628A"/>
    <w:rsid w:val="000B67AD"/>
    <w:rsid w:val="000B7ED7"/>
    <w:rsid w:val="000C00F6"/>
    <w:rsid w:val="000C363C"/>
    <w:rsid w:val="000C4822"/>
    <w:rsid w:val="000C51A9"/>
    <w:rsid w:val="000D1983"/>
    <w:rsid w:val="000D1C84"/>
    <w:rsid w:val="000D2937"/>
    <w:rsid w:val="000D2FFE"/>
    <w:rsid w:val="000D48A5"/>
    <w:rsid w:val="000D53ED"/>
    <w:rsid w:val="000D6D09"/>
    <w:rsid w:val="000D7B1F"/>
    <w:rsid w:val="000E0E4E"/>
    <w:rsid w:val="000E18B2"/>
    <w:rsid w:val="000E5D02"/>
    <w:rsid w:val="000F532E"/>
    <w:rsid w:val="000F579A"/>
    <w:rsid w:val="000F750C"/>
    <w:rsid w:val="00103D7A"/>
    <w:rsid w:val="00107436"/>
    <w:rsid w:val="00110290"/>
    <w:rsid w:val="001135F0"/>
    <w:rsid w:val="001225CF"/>
    <w:rsid w:val="00125ACA"/>
    <w:rsid w:val="00147139"/>
    <w:rsid w:val="00154CF0"/>
    <w:rsid w:val="00155963"/>
    <w:rsid w:val="001561A2"/>
    <w:rsid w:val="00162EBC"/>
    <w:rsid w:val="00162EF1"/>
    <w:rsid w:val="00162FD2"/>
    <w:rsid w:val="0017145A"/>
    <w:rsid w:val="00173D0D"/>
    <w:rsid w:val="00173DDD"/>
    <w:rsid w:val="00175551"/>
    <w:rsid w:val="00181602"/>
    <w:rsid w:val="00190731"/>
    <w:rsid w:val="001950A7"/>
    <w:rsid w:val="001B6469"/>
    <w:rsid w:val="001C3C72"/>
    <w:rsid w:val="001C68AF"/>
    <w:rsid w:val="001D17C1"/>
    <w:rsid w:val="001D45A9"/>
    <w:rsid w:val="001D78C4"/>
    <w:rsid w:val="001E1597"/>
    <w:rsid w:val="001E288B"/>
    <w:rsid w:val="001F2013"/>
    <w:rsid w:val="002028CB"/>
    <w:rsid w:val="00202A0A"/>
    <w:rsid w:val="0020529F"/>
    <w:rsid w:val="00206F98"/>
    <w:rsid w:val="0021334C"/>
    <w:rsid w:val="00220B12"/>
    <w:rsid w:val="00223996"/>
    <w:rsid w:val="002241E9"/>
    <w:rsid w:val="002303F5"/>
    <w:rsid w:val="00236CE4"/>
    <w:rsid w:val="00250312"/>
    <w:rsid w:val="002539BE"/>
    <w:rsid w:val="00255CDE"/>
    <w:rsid w:val="00262985"/>
    <w:rsid w:val="00262F0B"/>
    <w:rsid w:val="00264B4C"/>
    <w:rsid w:val="0027115F"/>
    <w:rsid w:val="00271967"/>
    <w:rsid w:val="002818F2"/>
    <w:rsid w:val="00281CA8"/>
    <w:rsid w:val="002926DC"/>
    <w:rsid w:val="00297553"/>
    <w:rsid w:val="00297F96"/>
    <w:rsid w:val="002A1C35"/>
    <w:rsid w:val="002A30C9"/>
    <w:rsid w:val="002A38A1"/>
    <w:rsid w:val="002A7B35"/>
    <w:rsid w:val="002B231B"/>
    <w:rsid w:val="002C2A7D"/>
    <w:rsid w:val="002D177C"/>
    <w:rsid w:val="002D5A65"/>
    <w:rsid w:val="002D6F01"/>
    <w:rsid w:val="00300B54"/>
    <w:rsid w:val="00300CAB"/>
    <w:rsid w:val="003036A2"/>
    <w:rsid w:val="00311499"/>
    <w:rsid w:val="0031683B"/>
    <w:rsid w:val="003209FB"/>
    <w:rsid w:val="003268FE"/>
    <w:rsid w:val="0032730B"/>
    <w:rsid w:val="0033213E"/>
    <w:rsid w:val="00333D85"/>
    <w:rsid w:val="00335090"/>
    <w:rsid w:val="00337189"/>
    <w:rsid w:val="00340408"/>
    <w:rsid w:val="0034414B"/>
    <w:rsid w:val="00344585"/>
    <w:rsid w:val="00364462"/>
    <w:rsid w:val="00365CE0"/>
    <w:rsid w:val="00367140"/>
    <w:rsid w:val="00373564"/>
    <w:rsid w:val="003767B7"/>
    <w:rsid w:val="00376BFB"/>
    <w:rsid w:val="00377486"/>
    <w:rsid w:val="00385BEF"/>
    <w:rsid w:val="00386E1C"/>
    <w:rsid w:val="003A2F9D"/>
    <w:rsid w:val="003A50B9"/>
    <w:rsid w:val="003A645A"/>
    <w:rsid w:val="003A7E1D"/>
    <w:rsid w:val="003B32DF"/>
    <w:rsid w:val="003B47C9"/>
    <w:rsid w:val="003B644F"/>
    <w:rsid w:val="003B70E1"/>
    <w:rsid w:val="003C31FC"/>
    <w:rsid w:val="003C380B"/>
    <w:rsid w:val="003C38B5"/>
    <w:rsid w:val="003D1C22"/>
    <w:rsid w:val="003D1E3D"/>
    <w:rsid w:val="003D5E45"/>
    <w:rsid w:val="003E7170"/>
    <w:rsid w:val="003F10FB"/>
    <w:rsid w:val="00400158"/>
    <w:rsid w:val="0040471F"/>
    <w:rsid w:val="00405417"/>
    <w:rsid w:val="004129A9"/>
    <w:rsid w:val="00413F74"/>
    <w:rsid w:val="00414880"/>
    <w:rsid w:val="004149DD"/>
    <w:rsid w:val="00425FBF"/>
    <w:rsid w:val="004279A9"/>
    <w:rsid w:val="00431750"/>
    <w:rsid w:val="004330A8"/>
    <w:rsid w:val="00433F2D"/>
    <w:rsid w:val="00436170"/>
    <w:rsid w:val="00442372"/>
    <w:rsid w:val="00454D14"/>
    <w:rsid w:val="004579C4"/>
    <w:rsid w:val="00460E3F"/>
    <w:rsid w:val="00463678"/>
    <w:rsid w:val="004658B8"/>
    <w:rsid w:val="00467940"/>
    <w:rsid w:val="00470577"/>
    <w:rsid w:val="00471F84"/>
    <w:rsid w:val="00475BBA"/>
    <w:rsid w:val="00482CB2"/>
    <w:rsid w:val="00484F25"/>
    <w:rsid w:val="00490B47"/>
    <w:rsid w:val="00497A4D"/>
    <w:rsid w:val="004A152C"/>
    <w:rsid w:val="004A2284"/>
    <w:rsid w:val="004A3E17"/>
    <w:rsid w:val="004B26C2"/>
    <w:rsid w:val="004C5DC1"/>
    <w:rsid w:val="004D662A"/>
    <w:rsid w:val="004F1827"/>
    <w:rsid w:val="004F2703"/>
    <w:rsid w:val="004F61B2"/>
    <w:rsid w:val="00501140"/>
    <w:rsid w:val="0050330F"/>
    <w:rsid w:val="0050432B"/>
    <w:rsid w:val="00516221"/>
    <w:rsid w:val="00520220"/>
    <w:rsid w:val="00525EEF"/>
    <w:rsid w:val="00532564"/>
    <w:rsid w:val="005350F5"/>
    <w:rsid w:val="00535B42"/>
    <w:rsid w:val="005368D0"/>
    <w:rsid w:val="005416E2"/>
    <w:rsid w:val="005430FD"/>
    <w:rsid w:val="00551380"/>
    <w:rsid w:val="005527FB"/>
    <w:rsid w:val="00554C53"/>
    <w:rsid w:val="00556AA1"/>
    <w:rsid w:val="00560B11"/>
    <w:rsid w:val="00561D58"/>
    <w:rsid w:val="0056452C"/>
    <w:rsid w:val="00571B1B"/>
    <w:rsid w:val="0057230D"/>
    <w:rsid w:val="00573F44"/>
    <w:rsid w:val="00574048"/>
    <w:rsid w:val="00575E73"/>
    <w:rsid w:val="00576052"/>
    <w:rsid w:val="00577E50"/>
    <w:rsid w:val="005945B9"/>
    <w:rsid w:val="0059496E"/>
    <w:rsid w:val="005B4A03"/>
    <w:rsid w:val="005B6F5F"/>
    <w:rsid w:val="005B7811"/>
    <w:rsid w:val="005C1B70"/>
    <w:rsid w:val="005C32EE"/>
    <w:rsid w:val="005C6A49"/>
    <w:rsid w:val="005D5A7B"/>
    <w:rsid w:val="005D61FA"/>
    <w:rsid w:val="005E1C34"/>
    <w:rsid w:val="005E4E07"/>
    <w:rsid w:val="005E7EEA"/>
    <w:rsid w:val="005F054E"/>
    <w:rsid w:val="005F110B"/>
    <w:rsid w:val="005F393E"/>
    <w:rsid w:val="005F41C2"/>
    <w:rsid w:val="005F4488"/>
    <w:rsid w:val="006005FE"/>
    <w:rsid w:val="00604CE2"/>
    <w:rsid w:val="00604F57"/>
    <w:rsid w:val="006127D0"/>
    <w:rsid w:val="0061326F"/>
    <w:rsid w:val="00613934"/>
    <w:rsid w:val="00616E4B"/>
    <w:rsid w:val="0062083C"/>
    <w:rsid w:val="0062411B"/>
    <w:rsid w:val="0062637D"/>
    <w:rsid w:val="006265C8"/>
    <w:rsid w:val="0063098B"/>
    <w:rsid w:val="00643A2B"/>
    <w:rsid w:val="00645FED"/>
    <w:rsid w:val="00651B5C"/>
    <w:rsid w:val="0065242B"/>
    <w:rsid w:val="00653E24"/>
    <w:rsid w:val="00655809"/>
    <w:rsid w:val="00663200"/>
    <w:rsid w:val="006632D5"/>
    <w:rsid w:val="0066455F"/>
    <w:rsid w:val="00665544"/>
    <w:rsid w:val="00665D25"/>
    <w:rsid w:val="00666B67"/>
    <w:rsid w:val="00666C55"/>
    <w:rsid w:val="006711CC"/>
    <w:rsid w:val="006725F6"/>
    <w:rsid w:val="00672E29"/>
    <w:rsid w:val="006763D2"/>
    <w:rsid w:val="006813F4"/>
    <w:rsid w:val="006833C5"/>
    <w:rsid w:val="006839ED"/>
    <w:rsid w:val="00687148"/>
    <w:rsid w:val="006977B1"/>
    <w:rsid w:val="006A4E1C"/>
    <w:rsid w:val="006A558F"/>
    <w:rsid w:val="006A7631"/>
    <w:rsid w:val="006B2144"/>
    <w:rsid w:val="006C0712"/>
    <w:rsid w:val="006D51C5"/>
    <w:rsid w:val="006E35D5"/>
    <w:rsid w:val="006E46FE"/>
    <w:rsid w:val="006E517C"/>
    <w:rsid w:val="006F0BB6"/>
    <w:rsid w:val="00700438"/>
    <w:rsid w:val="00702B39"/>
    <w:rsid w:val="00704132"/>
    <w:rsid w:val="007046D2"/>
    <w:rsid w:val="00707EF2"/>
    <w:rsid w:val="00711151"/>
    <w:rsid w:val="00715B12"/>
    <w:rsid w:val="00716F29"/>
    <w:rsid w:val="00716FE3"/>
    <w:rsid w:val="00717F89"/>
    <w:rsid w:val="007235D7"/>
    <w:rsid w:val="0072364B"/>
    <w:rsid w:val="0072617F"/>
    <w:rsid w:val="0073177E"/>
    <w:rsid w:val="0073762F"/>
    <w:rsid w:val="007472C5"/>
    <w:rsid w:val="00752695"/>
    <w:rsid w:val="00755A2A"/>
    <w:rsid w:val="00755A41"/>
    <w:rsid w:val="00760F74"/>
    <w:rsid w:val="0076305E"/>
    <w:rsid w:val="007640DD"/>
    <w:rsid w:val="00771A2A"/>
    <w:rsid w:val="0077481C"/>
    <w:rsid w:val="007901E0"/>
    <w:rsid w:val="007942A2"/>
    <w:rsid w:val="00794C0F"/>
    <w:rsid w:val="007A113C"/>
    <w:rsid w:val="007A27E2"/>
    <w:rsid w:val="007B04E3"/>
    <w:rsid w:val="007B1225"/>
    <w:rsid w:val="007B5C60"/>
    <w:rsid w:val="007B64E6"/>
    <w:rsid w:val="007B7183"/>
    <w:rsid w:val="007B7D7F"/>
    <w:rsid w:val="007C05AA"/>
    <w:rsid w:val="007D25CE"/>
    <w:rsid w:val="007D2E88"/>
    <w:rsid w:val="007D2F69"/>
    <w:rsid w:val="007F5FE0"/>
    <w:rsid w:val="007F6CBE"/>
    <w:rsid w:val="007F7774"/>
    <w:rsid w:val="008048FA"/>
    <w:rsid w:val="00804C12"/>
    <w:rsid w:val="0080584F"/>
    <w:rsid w:val="00810EF7"/>
    <w:rsid w:val="00812FB3"/>
    <w:rsid w:val="0082675C"/>
    <w:rsid w:val="008313D7"/>
    <w:rsid w:val="008316C6"/>
    <w:rsid w:val="00831FDE"/>
    <w:rsid w:val="00832220"/>
    <w:rsid w:val="00841855"/>
    <w:rsid w:val="00854E5A"/>
    <w:rsid w:val="00857AFE"/>
    <w:rsid w:val="008610FC"/>
    <w:rsid w:val="008654FD"/>
    <w:rsid w:val="008829EE"/>
    <w:rsid w:val="00891E5C"/>
    <w:rsid w:val="0089749F"/>
    <w:rsid w:val="008A69DA"/>
    <w:rsid w:val="008B0B74"/>
    <w:rsid w:val="008B13B6"/>
    <w:rsid w:val="008C3CED"/>
    <w:rsid w:val="008C4AFF"/>
    <w:rsid w:val="008D295B"/>
    <w:rsid w:val="008E7204"/>
    <w:rsid w:val="008F30E5"/>
    <w:rsid w:val="00901657"/>
    <w:rsid w:val="00903466"/>
    <w:rsid w:val="00904866"/>
    <w:rsid w:val="00905800"/>
    <w:rsid w:val="009100ED"/>
    <w:rsid w:val="009135FC"/>
    <w:rsid w:val="0091756C"/>
    <w:rsid w:val="0092018B"/>
    <w:rsid w:val="00922959"/>
    <w:rsid w:val="0092625C"/>
    <w:rsid w:val="00927B5F"/>
    <w:rsid w:val="00930F81"/>
    <w:rsid w:val="009331D0"/>
    <w:rsid w:val="0093684C"/>
    <w:rsid w:val="00936AB7"/>
    <w:rsid w:val="00944ABF"/>
    <w:rsid w:val="00950E63"/>
    <w:rsid w:val="00953596"/>
    <w:rsid w:val="0095541B"/>
    <w:rsid w:val="00961813"/>
    <w:rsid w:val="00962103"/>
    <w:rsid w:val="00972508"/>
    <w:rsid w:val="009801D6"/>
    <w:rsid w:val="00984D5F"/>
    <w:rsid w:val="00985FE4"/>
    <w:rsid w:val="009868A9"/>
    <w:rsid w:val="00994FB5"/>
    <w:rsid w:val="00996F1C"/>
    <w:rsid w:val="009A0742"/>
    <w:rsid w:val="009A6810"/>
    <w:rsid w:val="009A6C29"/>
    <w:rsid w:val="009A7426"/>
    <w:rsid w:val="009C0ED3"/>
    <w:rsid w:val="009C3197"/>
    <w:rsid w:val="009C3BA5"/>
    <w:rsid w:val="009D1512"/>
    <w:rsid w:val="009D4385"/>
    <w:rsid w:val="009D4CF3"/>
    <w:rsid w:val="009E0263"/>
    <w:rsid w:val="009F08C3"/>
    <w:rsid w:val="009F503E"/>
    <w:rsid w:val="009F7ADA"/>
    <w:rsid w:val="00A054E2"/>
    <w:rsid w:val="00A06398"/>
    <w:rsid w:val="00A07298"/>
    <w:rsid w:val="00A14A79"/>
    <w:rsid w:val="00A216D2"/>
    <w:rsid w:val="00A22A3F"/>
    <w:rsid w:val="00A2703D"/>
    <w:rsid w:val="00A30426"/>
    <w:rsid w:val="00A3094E"/>
    <w:rsid w:val="00A30A8E"/>
    <w:rsid w:val="00A31A95"/>
    <w:rsid w:val="00A31C66"/>
    <w:rsid w:val="00A34A8A"/>
    <w:rsid w:val="00A34FA3"/>
    <w:rsid w:val="00A367F2"/>
    <w:rsid w:val="00A452AC"/>
    <w:rsid w:val="00A50550"/>
    <w:rsid w:val="00A505F0"/>
    <w:rsid w:val="00A632F4"/>
    <w:rsid w:val="00A64957"/>
    <w:rsid w:val="00A7691B"/>
    <w:rsid w:val="00A770C6"/>
    <w:rsid w:val="00A773BF"/>
    <w:rsid w:val="00A77B4F"/>
    <w:rsid w:val="00A87736"/>
    <w:rsid w:val="00A901E6"/>
    <w:rsid w:val="00A9103F"/>
    <w:rsid w:val="00AA000E"/>
    <w:rsid w:val="00AA32B0"/>
    <w:rsid w:val="00AA3DC3"/>
    <w:rsid w:val="00AA4A31"/>
    <w:rsid w:val="00AA743E"/>
    <w:rsid w:val="00AA7BB5"/>
    <w:rsid w:val="00AB4DDC"/>
    <w:rsid w:val="00AD195F"/>
    <w:rsid w:val="00AD2565"/>
    <w:rsid w:val="00AD60AF"/>
    <w:rsid w:val="00AE1873"/>
    <w:rsid w:val="00AE61CF"/>
    <w:rsid w:val="00AE658A"/>
    <w:rsid w:val="00AF4F9B"/>
    <w:rsid w:val="00B01DB8"/>
    <w:rsid w:val="00B01E37"/>
    <w:rsid w:val="00B071A1"/>
    <w:rsid w:val="00B1137C"/>
    <w:rsid w:val="00B13E72"/>
    <w:rsid w:val="00B14C8E"/>
    <w:rsid w:val="00B21E23"/>
    <w:rsid w:val="00B24112"/>
    <w:rsid w:val="00B32EA3"/>
    <w:rsid w:val="00B333D0"/>
    <w:rsid w:val="00B46542"/>
    <w:rsid w:val="00B57FAE"/>
    <w:rsid w:val="00B62607"/>
    <w:rsid w:val="00B6613D"/>
    <w:rsid w:val="00B66A8D"/>
    <w:rsid w:val="00B71FCF"/>
    <w:rsid w:val="00B7466E"/>
    <w:rsid w:val="00B80284"/>
    <w:rsid w:val="00B934BC"/>
    <w:rsid w:val="00B973B0"/>
    <w:rsid w:val="00BA23EB"/>
    <w:rsid w:val="00BB37BE"/>
    <w:rsid w:val="00BC071E"/>
    <w:rsid w:val="00BC076C"/>
    <w:rsid w:val="00BC489D"/>
    <w:rsid w:val="00BC5414"/>
    <w:rsid w:val="00BC6919"/>
    <w:rsid w:val="00BD0EF3"/>
    <w:rsid w:val="00BD0F96"/>
    <w:rsid w:val="00BD2D6A"/>
    <w:rsid w:val="00BD7A05"/>
    <w:rsid w:val="00BE6F24"/>
    <w:rsid w:val="00BF0D4F"/>
    <w:rsid w:val="00BF2034"/>
    <w:rsid w:val="00BF365B"/>
    <w:rsid w:val="00BF670F"/>
    <w:rsid w:val="00BF7F15"/>
    <w:rsid w:val="00C04D54"/>
    <w:rsid w:val="00C1173F"/>
    <w:rsid w:val="00C13C7E"/>
    <w:rsid w:val="00C1450D"/>
    <w:rsid w:val="00C16676"/>
    <w:rsid w:val="00C2091E"/>
    <w:rsid w:val="00C21AB4"/>
    <w:rsid w:val="00C25972"/>
    <w:rsid w:val="00C36C8D"/>
    <w:rsid w:val="00C46994"/>
    <w:rsid w:val="00C501B1"/>
    <w:rsid w:val="00C51302"/>
    <w:rsid w:val="00C52589"/>
    <w:rsid w:val="00C54497"/>
    <w:rsid w:val="00C5579C"/>
    <w:rsid w:val="00C562CF"/>
    <w:rsid w:val="00C61C64"/>
    <w:rsid w:val="00C62813"/>
    <w:rsid w:val="00C6787A"/>
    <w:rsid w:val="00C7039D"/>
    <w:rsid w:val="00C7345A"/>
    <w:rsid w:val="00C73E8B"/>
    <w:rsid w:val="00C74046"/>
    <w:rsid w:val="00C7709D"/>
    <w:rsid w:val="00C86129"/>
    <w:rsid w:val="00C86D4D"/>
    <w:rsid w:val="00C90766"/>
    <w:rsid w:val="00C91B94"/>
    <w:rsid w:val="00C95874"/>
    <w:rsid w:val="00C9646C"/>
    <w:rsid w:val="00CA25F9"/>
    <w:rsid w:val="00CA2BEC"/>
    <w:rsid w:val="00CA78B0"/>
    <w:rsid w:val="00CB0BB6"/>
    <w:rsid w:val="00CB4E79"/>
    <w:rsid w:val="00CB661B"/>
    <w:rsid w:val="00CC0B3B"/>
    <w:rsid w:val="00CC0FF2"/>
    <w:rsid w:val="00CC6AAD"/>
    <w:rsid w:val="00CC74AD"/>
    <w:rsid w:val="00CD183C"/>
    <w:rsid w:val="00CD2849"/>
    <w:rsid w:val="00CD307C"/>
    <w:rsid w:val="00CD3CB7"/>
    <w:rsid w:val="00CD40D0"/>
    <w:rsid w:val="00CD6E23"/>
    <w:rsid w:val="00CD6EA3"/>
    <w:rsid w:val="00CE1414"/>
    <w:rsid w:val="00CE1986"/>
    <w:rsid w:val="00CE5AAC"/>
    <w:rsid w:val="00CF1F61"/>
    <w:rsid w:val="00CF20D8"/>
    <w:rsid w:val="00CF3201"/>
    <w:rsid w:val="00CF43BB"/>
    <w:rsid w:val="00CF5A95"/>
    <w:rsid w:val="00CF6F02"/>
    <w:rsid w:val="00CF75BB"/>
    <w:rsid w:val="00D006A4"/>
    <w:rsid w:val="00D01712"/>
    <w:rsid w:val="00D04C03"/>
    <w:rsid w:val="00D1073E"/>
    <w:rsid w:val="00D11422"/>
    <w:rsid w:val="00D11CFA"/>
    <w:rsid w:val="00D14E3B"/>
    <w:rsid w:val="00D221DA"/>
    <w:rsid w:val="00D22F39"/>
    <w:rsid w:val="00D266C8"/>
    <w:rsid w:val="00D26ED4"/>
    <w:rsid w:val="00D31D4F"/>
    <w:rsid w:val="00D31F08"/>
    <w:rsid w:val="00D4071D"/>
    <w:rsid w:val="00D4191F"/>
    <w:rsid w:val="00D50108"/>
    <w:rsid w:val="00D560B8"/>
    <w:rsid w:val="00D560FD"/>
    <w:rsid w:val="00D565CC"/>
    <w:rsid w:val="00D663B6"/>
    <w:rsid w:val="00D7211D"/>
    <w:rsid w:val="00D7324B"/>
    <w:rsid w:val="00D76A9B"/>
    <w:rsid w:val="00D84250"/>
    <w:rsid w:val="00D94DFE"/>
    <w:rsid w:val="00DA1215"/>
    <w:rsid w:val="00DA2D75"/>
    <w:rsid w:val="00DA300A"/>
    <w:rsid w:val="00DA6252"/>
    <w:rsid w:val="00DA7CF0"/>
    <w:rsid w:val="00DB091B"/>
    <w:rsid w:val="00DB4C89"/>
    <w:rsid w:val="00DC1ACA"/>
    <w:rsid w:val="00DC3715"/>
    <w:rsid w:val="00DC4CF4"/>
    <w:rsid w:val="00DD0826"/>
    <w:rsid w:val="00DD1838"/>
    <w:rsid w:val="00DD2400"/>
    <w:rsid w:val="00DD5DDF"/>
    <w:rsid w:val="00DE68E5"/>
    <w:rsid w:val="00DF02EE"/>
    <w:rsid w:val="00DF104F"/>
    <w:rsid w:val="00E008A5"/>
    <w:rsid w:val="00E02F0B"/>
    <w:rsid w:val="00E04173"/>
    <w:rsid w:val="00E04D81"/>
    <w:rsid w:val="00E056F7"/>
    <w:rsid w:val="00E07821"/>
    <w:rsid w:val="00E10927"/>
    <w:rsid w:val="00E15EB8"/>
    <w:rsid w:val="00E17E65"/>
    <w:rsid w:val="00E223C8"/>
    <w:rsid w:val="00E27C09"/>
    <w:rsid w:val="00E307C8"/>
    <w:rsid w:val="00E30D5B"/>
    <w:rsid w:val="00E3343E"/>
    <w:rsid w:val="00E367E8"/>
    <w:rsid w:val="00E4403A"/>
    <w:rsid w:val="00E44E7E"/>
    <w:rsid w:val="00E50FC8"/>
    <w:rsid w:val="00E530FA"/>
    <w:rsid w:val="00E54CE4"/>
    <w:rsid w:val="00E55E9A"/>
    <w:rsid w:val="00E57550"/>
    <w:rsid w:val="00E603D0"/>
    <w:rsid w:val="00E642B0"/>
    <w:rsid w:val="00E70023"/>
    <w:rsid w:val="00E727EF"/>
    <w:rsid w:val="00E73345"/>
    <w:rsid w:val="00E73CEF"/>
    <w:rsid w:val="00E73ED2"/>
    <w:rsid w:val="00E743F3"/>
    <w:rsid w:val="00E74DE8"/>
    <w:rsid w:val="00E75270"/>
    <w:rsid w:val="00E75917"/>
    <w:rsid w:val="00E75B13"/>
    <w:rsid w:val="00E80277"/>
    <w:rsid w:val="00E967C0"/>
    <w:rsid w:val="00EA33D8"/>
    <w:rsid w:val="00EB2EF4"/>
    <w:rsid w:val="00EB3EDF"/>
    <w:rsid w:val="00EC0C77"/>
    <w:rsid w:val="00EC443E"/>
    <w:rsid w:val="00ED0CD3"/>
    <w:rsid w:val="00EE2E3B"/>
    <w:rsid w:val="00EE37C3"/>
    <w:rsid w:val="00EE4237"/>
    <w:rsid w:val="00EE5436"/>
    <w:rsid w:val="00EE587D"/>
    <w:rsid w:val="00F13B82"/>
    <w:rsid w:val="00F15770"/>
    <w:rsid w:val="00F231B6"/>
    <w:rsid w:val="00F251E2"/>
    <w:rsid w:val="00F263F3"/>
    <w:rsid w:val="00F34CEB"/>
    <w:rsid w:val="00F52217"/>
    <w:rsid w:val="00F54448"/>
    <w:rsid w:val="00F624A2"/>
    <w:rsid w:val="00F625F0"/>
    <w:rsid w:val="00F754E6"/>
    <w:rsid w:val="00F80965"/>
    <w:rsid w:val="00F83E6C"/>
    <w:rsid w:val="00F84893"/>
    <w:rsid w:val="00F92A6A"/>
    <w:rsid w:val="00FA4FD5"/>
    <w:rsid w:val="00FB3C6B"/>
    <w:rsid w:val="00FB6331"/>
    <w:rsid w:val="00FB770B"/>
    <w:rsid w:val="00FC6087"/>
    <w:rsid w:val="00FD7216"/>
    <w:rsid w:val="00FE144A"/>
    <w:rsid w:val="00FE7747"/>
    <w:rsid w:val="00FE77B6"/>
    <w:rsid w:val="00FF2BB4"/>
    <w:rsid w:val="00FF371F"/>
    <w:rsid w:val="00FF3FFE"/>
    <w:rsid w:val="011B2D5D"/>
    <w:rsid w:val="01A83C46"/>
    <w:rsid w:val="05E04ADF"/>
    <w:rsid w:val="05E774BE"/>
    <w:rsid w:val="05EF62AF"/>
    <w:rsid w:val="06AB5DC5"/>
    <w:rsid w:val="0ACF29BB"/>
    <w:rsid w:val="0C311D2A"/>
    <w:rsid w:val="0C4020FF"/>
    <w:rsid w:val="0D5F67E5"/>
    <w:rsid w:val="0E0B1397"/>
    <w:rsid w:val="0E322D59"/>
    <w:rsid w:val="0F131BCA"/>
    <w:rsid w:val="10C33B0F"/>
    <w:rsid w:val="126D60C9"/>
    <w:rsid w:val="13A4764C"/>
    <w:rsid w:val="14DB3DB4"/>
    <w:rsid w:val="14FC1BFA"/>
    <w:rsid w:val="17E10001"/>
    <w:rsid w:val="19D55670"/>
    <w:rsid w:val="1B216E87"/>
    <w:rsid w:val="1C112773"/>
    <w:rsid w:val="1C991608"/>
    <w:rsid w:val="1D070D7E"/>
    <w:rsid w:val="20092296"/>
    <w:rsid w:val="20465CF8"/>
    <w:rsid w:val="21CA5386"/>
    <w:rsid w:val="229F0FDC"/>
    <w:rsid w:val="22C85B1F"/>
    <w:rsid w:val="22C97BAA"/>
    <w:rsid w:val="23472BDA"/>
    <w:rsid w:val="24AB4534"/>
    <w:rsid w:val="25287AE7"/>
    <w:rsid w:val="25E56B34"/>
    <w:rsid w:val="26430AA8"/>
    <w:rsid w:val="29516541"/>
    <w:rsid w:val="29B5374A"/>
    <w:rsid w:val="2A210248"/>
    <w:rsid w:val="2CCB328B"/>
    <w:rsid w:val="2FDF317B"/>
    <w:rsid w:val="309410C2"/>
    <w:rsid w:val="30E1122A"/>
    <w:rsid w:val="33927AB5"/>
    <w:rsid w:val="33BF6FB9"/>
    <w:rsid w:val="33E32E1A"/>
    <w:rsid w:val="358F698A"/>
    <w:rsid w:val="37717BA3"/>
    <w:rsid w:val="3A0E6ED6"/>
    <w:rsid w:val="3A441CEE"/>
    <w:rsid w:val="3C06509F"/>
    <w:rsid w:val="3C176022"/>
    <w:rsid w:val="3CEE1743"/>
    <w:rsid w:val="3D985A1D"/>
    <w:rsid w:val="3E386E20"/>
    <w:rsid w:val="4264003A"/>
    <w:rsid w:val="459E6747"/>
    <w:rsid w:val="468518BF"/>
    <w:rsid w:val="48FA23FD"/>
    <w:rsid w:val="4EF61917"/>
    <w:rsid w:val="513314CD"/>
    <w:rsid w:val="514F07F2"/>
    <w:rsid w:val="5202191A"/>
    <w:rsid w:val="556E33BC"/>
    <w:rsid w:val="58406E56"/>
    <w:rsid w:val="58934147"/>
    <w:rsid w:val="59F51775"/>
    <w:rsid w:val="5A0479D1"/>
    <w:rsid w:val="5AD911CF"/>
    <w:rsid w:val="5F332263"/>
    <w:rsid w:val="5F35187A"/>
    <w:rsid w:val="5FEA7C19"/>
    <w:rsid w:val="60374DD6"/>
    <w:rsid w:val="60FB4168"/>
    <w:rsid w:val="6208722E"/>
    <w:rsid w:val="622E1B8C"/>
    <w:rsid w:val="62E0631A"/>
    <w:rsid w:val="64C60132"/>
    <w:rsid w:val="65B4225D"/>
    <w:rsid w:val="667B50E9"/>
    <w:rsid w:val="692A0243"/>
    <w:rsid w:val="6A97393A"/>
    <w:rsid w:val="6DBC7573"/>
    <w:rsid w:val="6E072310"/>
    <w:rsid w:val="6E26667B"/>
    <w:rsid w:val="6FAB3C9F"/>
    <w:rsid w:val="6FEE4498"/>
    <w:rsid w:val="70C54792"/>
    <w:rsid w:val="71E2666E"/>
    <w:rsid w:val="72FB20CE"/>
    <w:rsid w:val="730152DE"/>
    <w:rsid w:val="734D57E6"/>
    <w:rsid w:val="73D005AC"/>
    <w:rsid w:val="76381300"/>
    <w:rsid w:val="76471112"/>
    <w:rsid w:val="77AD2167"/>
    <w:rsid w:val="78F36847"/>
    <w:rsid w:val="79355C9C"/>
    <w:rsid w:val="794E2586"/>
    <w:rsid w:val="79835D9E"/>
    <w:rsid w:val="7B830364"/>
    <w:rsid w:val="7C020CE2"/>
    <w:rsid w:val="7C5B5227"/>
    <w:rsid w:val="7D6E2B0F"/>
    <w:rsid w:val="7DFC4222"/>
    <w:rsid w:val="7F0D4FB4"/>
    <w:rsid w:val="7FC32B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qFormat="1" w:uiPriority="99" w:semiHidden="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iPriority="1" w:semiHidden="0" w:name="Body Text"/>
    <w:lsdException w:qFormat="1"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qFormat="1" w:uiPriority="0" w:semiHidden="0" w:name="Body Text First Indent"/>
    <w:lsdException w:qFormat="1" w:unhideWhenUsed="0" w:uiPriority="0" w:semiHidden="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Body Text First Indent"/>
    <w:basedOn w:val="3"/>
    <w:next w:val="6"/>
    <w:unhideWhenUsed/>
    <w:qFormat/>
    <w:uiPriority w:val="0"/>
    <w:pPr>
      <w:widowControl/>
      <w:autoSpaceDE/>
      <w:autoSpaceDN/>
      <w:adjustRightInd/>
      <w:spacing w:before="0" w:beforeAutospacing="0" w:after="120" w:afterAutospacing="0"/>
      <w:ind w:left="0" w:firstLine="420" w:firstLineChars="100"/>
    </w:pPr>
    <w:rPr>
      <w:rFonts w:ascii="Calibri" w:hAnsi="Calibri" w:cs="Times New Roman"/>
    </w:rPr>
  </w:style>
  <w:style w:type="paragraph" w:styleId="3">
    <w:name w:val="Body Text"/>
    <w:basedOn w:val="1"/>
    <w:next w:val="4"/>
    <w:unhideWhenUsed/>
    <w:qFormat/>
    <w:uiPriority w:val="1"/>
    <w:pPr>
      <w:autoSpaceDE w:val="0"/>
      <w:autoSpaceDN w:val="0"/>
      <w:adjustRightInd w:val="0"/>
      <w:spacing w:before="100" w:beforeAutospacing="1" w:after="100" w:afterAutospacing="1"/>
      <w:ind w:left="138"/>
      <w:jc w:val="left"/>
    </w:pPr>
    <w:rPr>
      <w:rFonts w:ascii="宋体" w:cs="宋体"/>
      <w:kern w:val="0"/>
      <w:sz w:val="24"/>
    </w:rPr>
  </w:style>
  <w:style w:type="paragraph" w:styleId="4">
    <w:name w:val="Body Text Indent"/>
    <w:basedOn w:val="1"/>
    <w:next w:val="5"/>
    <w:unhideWhenUsed/>
    <w:qFormat/>
    <w:uiPriority w:val="0"/>
    <w:pPr>
      <w:spacing w:before="100" w:beforeAutospacing="1" w:after="120"/>
      <w:ind w:left="420" w:leftChars="200"/>
    </w:pPr>
  </w:style>
  <w:style w:type="paragraph" w:styleId="5">
    <w:name w:val="Normal Indent"/>
    <w:basedOn w:val="1"/>
    <w:qFormat/>
    <w:uiPriority w:val="0"/>
    <w:pPr>
      <w:widowControl/>
      <w:ind w:firstLine="420" w:firstLineChars="200"/>
      <w:jc w:val="left"/>
    </w:pPr>
    <w:rPr>
      <w:rFonts w:ascii="Calibri" w:hAnsi="Calibri"/>
    </w:rPr>
  </w:style>
  <w:style w:type="paragraph" w:styleId="6">
    <w:name w:val="Body Text First Indent 2"/>
    <w:basedOn w:val="4"/>
    <w:qFormat/>
    <w:uiPriority w:val="0"/>
    <w:pPr>
      <w:ind w:firstLine="210"/>
    </w:pPr>
    <w:rPr>
      <w:rFonts w:ascii="Calibri"/>
    </w:rPr>
  </w:style>
  <w:style w:type="paragraph" w:styleId="7">
    <w:name w:val="List Number 3"/>
    <w:basedOn w:val="1"/>
    <w:unhideWhenUsed/>
    <w:qFormat/>
    <w:uiPriority w:val="99"/>
    <w:pPr>
      <w:numPr>
        <w:ilvl w:val="0"/>
        <w:numId w:val="1"/>
      </w:numPr>
      <w:contextualSpacing/>
    </w:pPr>
  </w:style>
  <w:style w:type="paragraph" w:styleId="8">
    <w:name w:val="Balloon Text"/>
    <w:basedOn w:val="1"/>
    <w:link w:val="17"/>
    <w:unhideWhenUsed/>
    <w:qFormat/>
    <w:uiPriority w:val="99"/>
    <w:rPr>
      <w:kern w:val="0"/>
      <w:sz w:val="18"/>
      <w:szCs w:val="18"/>
    </w:rPr>
  </w:style>
  <w:style w:type="paragraph" w:styleId="9">
    <w:name w:val="footer"/>
    <w:basedOn w:val="1"/>
    <w:link w:val="16"/>
    <w:unhideWhenUsed/>
    <w:qFormat/>
    <w:uiPriority w:val="99"/>
    <w:pPr>
      <w:tabs>
        <w:tab w:val="center" w:pos="4153"/>
        <w:tab w:val="right" w:pos="8306"/>
      </w:tabs>
      <w:snapToGrid w:val="0"/>
      <w:jc w:val="left"/>
    </w:pPr>
    <w:rPr>
      <w:kern w:val="0"/>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snapToGrid w:val="0"/>
      <w:jc w:val="center"/>
    </w:pPr>
    <w:rPr>
      <w:kern w:val="0"/>
      <w:sz w:val="18"/>
      <w:szCs w:val="18"/>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列出段落1"/>
    <w:basedOn w:val="1"/>
    <w:qFormat/>
    <w:uiPriority w:val="34"/>
    <w:pPr>
      <w:ind w:firstLine="420" w:firstLineChars="200"/>
    </w:pPr>
  </w:style>
  <w:style w:type="character" w:customStyle="1" w:styleId="15">
    <w:name w:val="页眉 Char"/>
    <w:link w:val="10"/>
    <w:qFormat/>
    <w:uiPriority w:val="99"/>
    <w:rPr>
      <w:rFonts w:ascii="Times New Roman" w:hAnsi="Times New Roman" w:eastAsia="宋体" w:cs="Times New Roman"/>
      <w:sz w:val="18"/>
      <w:szCs w:val="18"/>
    </w:rPr>
  </w:style>
  <w:style w:type="character" w:customStyle="1" w:styleId="16">
    <w:name w:val="页脚 Char"/>
    <w:link w:val="9"/>
    <w:qFormat/>
    <w:uiPriority w:val="99"/>
    <w:rPr>
      <w:rFonts w:ascii="Times New Roman" w:hAnsi="Times New Roman" w:eastAsia="宋体" w:cs="Times New Roman"/>
      <w:sz w:val="18"/>
      <w:szCs w:val="18"/>
    </w:rPr>
  </w:style>
  <w:style w:type="character" w:customStyle="1" w:styleId="17">
    <w:name w:val="批注框文本 Char"/>
    <w:link w:val="8"/>
    <w:semiHidden/>
    <w:qFormat/>
    <w:uiPriority w:val="99"/>
    <w:rPr>
      <w:rFonts w:ascii="Times New Roman" w:hAnsi="Times New Roman" w:eastAsia="宋体" w:cs="Times New Roman"/>
      <w:sz w:val="18"/>
      <w:szCs w:val="18"/>
    </w:rPr>
  </w:style>
  <w:style w:type="paragraph"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2</Pages>
  <Words>382</Words>
  <Characters>2178</Characters>
  <Lines>18</Lines>
  <Paragraphs>5</Paragraphs>
  <TotalTime>77</TotalTime>
  <ScaleCrop>false</ScaleCrop>
  <LinksUpToDate>false</LinksUpToDate>
  <CharactersWithSpaces>2555</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2022-09-28T02:41:00Z</dcterms:created>
  <dc:creator>Administrator</dc:creator>
  <cp:lastModifiedBy>小潘</cp:lastModifiedBy>
  <cp:lastPrinted>2023-06-13T06:15:00Z</cp:lastPrinted>
  <dcterms:modified xsi:type="dcterms:W3CDTF">2023-08-18T07:39:41Z</dcterms:modified>
  <dc:title>资产管理部评审小组会议纪要</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2E270FC7AA41408BA88E9DF690C5383F</vt:lpwstr>
  </property>
</Properties>
</file>