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1F3864"/>
          <w:sz w:val="52"/>
          <w:szCs w:val="52"/>
        </w:rPr>
        <w:t xml:space="preserve">Rule Discovery Methods</w:t>
      </w:r>
    </w:p>
    <w:p>
      <w:pPr>
        <w:pBdr>
          <w:bottom w:val="single" w:color="2E5FA3" w:sz="8" w:space="4"/>
        </w:pBdr>
        <w:spacing w:after="80" w:before="0"/>
      </w:pPr>
      <w:r>
        <w:rPr>
          <w:rFonts w:ascii="Arial" w:cs="Arial" w:eastAsia="Arial" w:hAnsi="Arial"/>
          <w:b/>
          <w:bCs/>
          <w:color w:val="2E5FA3"/>
          <w:sz w:val="30"/>
          <w:szCs w:val="30"/>
        </w:rPr>
        <w:t xml:space="preserve">Comparative Analysis: CarenR  ·  RIPPER  ·  M5Rules</w:t>
      </w:r>
    </w:p>
    <w:p>
      <w:pPr>
        <w:spacing w:after="480" w:before="120"/>
      </w:pPr>
      <w:r>
        <w:rPr>
          <w:rFonts w:ascii="Arial" w:cs="Arial" w:eastAsia="Arial" w:hAnsi="Arial"/>
          <w:color w:val="555555"/>
          <w:sz w:val="22"/>
          <w:szCs w:val="22"/>
        </w:rPr>
        <w:t xml:space="preserve">Thesis progress summary · Douro (RDD) and Vinho Verde (RVV) ·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BF3FB" w:sz="1"/>
              <w:left w:val="single" w:color="EBF3FB" w:sz="1"/>
              <w:bottom w:val="single" w:color="EBF3FB" w:sz="1"/>
              <w:right w:val="single" w:color="EBF3FB" w:sz="1"/>
            </w:tcBorders>
            <w:shd w:fill="EBF3FB" w:val="clear"/>
            <w:tcMar>
              <w:top w:type="dxa" w:w="160"/>
              <w:left w:type="dxa" w:w="200"/>
              <w:bottom w:type="dxa" w:w="160"/>
              <w:right w:type="dxa" w:w="200"/>
            </w:tcMar>
          </w:tcPr>
          <w:p>
            <w:pPr>
              <w:jc w:val="center"/>
            </w:pPr>
            <w:r>
              <w:rPr>
                <w:rFonts w:ascii="Arial" w:cs="Arial" w:eastAsia="Arial" w:hAnsi="Arial"/>
                <w:b/>
                <w:bCs/>
                <w:color w:val="1F3864"/>
                <w:sz w:val="44"/>
                <w:szCs w:val="44"/>
              </w:rPr>
              <w:t xml:space="preserve">22</w:t>
            </w:r>
          </w:p>
          <w:p>
            <w:pPr>
              <w:jc w:val="center"/>
            </w:pPr>
            <w:r>
              <w:rPr>
                <w:rFonts w:ascii="Arial" w:cs="Arial" w:eastAsia="Arial" w:hAnsi="Arial"/>
                <w:color w:val="444444"/>
                <w:sz w:val="18"/>
                <w:szCs w:val="18"/>
              </w:rPr>
              <w:t xml:space="preserve">CarenR rules (RVV)</w:t>
            </w:r>
          </w:p>
        </w:tc>
        <w:tc>
          <w:tcPr>
            <w:tcW w:type="dxa" w:w="3120"/>
            <w:tcBorders>
              <w:top w:val="single" w:color="FFF8E1" w:sz="1"/>
              <w:left w:val="single" w:color="FFF8E1" w:sz="1"/>
              <w:bottom w:val="single" w:color="FFF8E1" w:sz="1"/>
              <w:right w:val="single" w:color="FFF8E1" w:sz="1"/>
            </w:tcBorders>
            <w:shd w:fill="FFF8E1" w:val="clear"/>
            <w:tcMar>
              <w:top w:type="dxa" w:w="160"/>
              <w:left w:type="dxa" w:w="200"/>
              <w:bottom w:type="dxa" w:w="160"/>
              <w:right w:type="dxa" w:w="200"/>
            </w:tcMar>
          </w:tcPr>
          <w:p>
            <w:pPr>
              <w:jc w:val="center"/>
            </w:pPr>
            <w:r>
              <w:rPr>
                <w:rFonts w:ascii="Arial" w:cs="Arial" w:eastAsia="Arial" w:hAnsi="Arial"/>
                <w:b/>
                <w:bCs/>
                <w:color w:val="1F3864"/>
                <w:sz w:val="44"/>
                <w:szCs w:val="44"/>
              </w:rPr>
              <w:t xml:space="preserve">5</w:t>
            </w:r>
          </w:p>
          <w:p>
            <w:pPr>
              <w:jc w:val="center"/>
            </w:pPr>
            <w:r>
              <w:rPr>
                <w:rFonts w:ascii="Arial" w:cs="Arial" w:eastAsia="Arial" w:hAnsi="Arial"/>
                <w:color w:val="444444"/>
                <w:sz w:val="18"/>
                <w:szCs w:val="18"/>
              </w:rPr>
              <w:t xml:space="preserve">RIPPER rules (total)</w:t>
            </w:r>
          </w:p>
        </w:tc>
        <w:tc>
          <w:tcPr>
            <w:tcW w:type="dxa" w:w="3120"/>
            <w:tcBorders>
              <w:top w:val="single" w:color="F1F8E9" w:sz="1"/>
              <w:left w:val="single" w:color="F1F8E9" w:sz="1"/>
              <w:bottom w:val="single" w:color="F1F8E9" w:sz="1"/>
              <w:right w:val="single" w:color="F1F8E9" w:sz="1"/>
            </w:tcBorders>
            <w:shd w:fill="F1F8E9" w:val="clear"/>
            <w:tcMar>
              <w:top w:type="dxa" w:w="160"/>
              <w:left w:type="dxa" w:w="200"/>
              <w:bottom w:type="dxa" w:w="160"/>
              <w:right w:type="dxa" w:w="200"/>
            </w:tcMar>
          </w:tcPr>
          <w:p>
            <w:pPr>
              <w:jc w:val="center"/>
            </w:pPr>
            <w:r>
              <w:rPr>
                <w:rFonts w:ascii="Arial" w:cs="Arial" w:eastAsia="Arial" w:hAnsi="Arial"/>
                <w:b/>
                <w:bCs/>
                <w:color w:val="1F3864"/>
                <w:sz w:val="44"/>
                <w:szCs w:val="44"/>
              </w:rPr>
              <w:t xml:space="preserve">3</w:t>
            </w:r>
          </w:p>
          <w:p>
            <w:pPr>
              <w:jc w:val="center"/>
            </w:pPr>
            <w:r>
              <w:rPr>
                <w:rFonts w:ascii="Arial" w:cs="Arial" w:eastAsia="Arial" w:hAnsi="Arial"/>
                <w:color w:val="444444"/>
                <w:sz w:val="18"/>
                <w:szCs w:val="18"/>
              </w:rPr>
              <w:t xml:space="preserve">M5Rules rules (total)</w:t>
            </w:r>
          </w:p>
        </w:tc>
      </w:tr>
    </w:tbl>
    <w:p>
      <w:pPr>
        <w:spacing w:after="0" w:before="360"/>
      </w:pPr>
    </w:p>
    <w:p>
      <w:pPr>
        <w:pStyle w:val="Heading1"/>
        <w:spacing w:after="120" w:before="360"/>
      </w:pPr>
      <w:r>
        <w:rPr>
          <w:rFonts w:ascii="Arial" w:cs="Arial" w:eastAsia="Arial" w:hAnsi="Arial"/>
          <w:b/>
          <w:bCs/>
          <w:color w:val="1F3864"/>
          <w:sz w:val="36"/>
          <w:szCs w:val="36"/>
        </w:rPr>
        <w:t xml:space="preserve">1. Purpose of This Document</w:t>
      </w:r>
    </w:p>
    <w:p>
      <w:pPr>
        <w:spacing w:after="120"/>
      </w:pPr>
      <w:r>
        <w:rPr>
          <w:rFonts w:ascii="Arial" w:cs="Arial" w:eastAsia="Arial" w:hAnsi="Arial"/>
          <w:b w:val="false"/>
          <w:bCs w:val="false"/>
          <w:color w:val="000000"/>
          <w:sz w:val="20"/>
          <w:szCs w:val="20"/>
        </w:rPr>
        <w:t xml:space="preserve">This document summarises the three rule discovery approaches applied to wine production data for two Portuguese wine regions — Douro (RDD, 89 years, 1933–2022) and Vinho Verde (RVV, 80 years, 1941–2022). The goal is to identify which climate conditions are associated with high or low production, and to evaluate how consistently each method captures those patterns.</w:t>
      </w:r>
    </w:p>
    <w:p>
      <w:pPr>
        <w:spacing w:after="120"/>
      </w:pPr>
      <w:r>
        <w:rPr>
          <w:rFonts w:ascii="Arial" w:cs="Arial" w:eastAsia="Arial" w:hAnsi="Arial"/>
          <w:b w:val="false"/>
          <w:bCs w:val="false"/>
          <w:color w:val="000000"/>
          <w:sz w:val="20"/>
          <w:szCs w:val="20"/>
        </w:rPr>
        <w:t xml:space="preserve">Each method approaches the problem differently. They are not competing to solve the same task — they are complementary lenses on the same data.</w:t>
      </w:r>
    </w:p>
    <w:p>
      <w:r>
        <w:br w:type="page"/>
      </w:r>
    </w:p>
    <w:p>
      <w:pPr>
        <w:pStyle w:val="Heading1"/>
        <w:spacing w:after="120" w:before="360"/>
      </w:pPr>
      <w:r>
        <w:rPr>
          <w:rFonts w:ascii="Arial" w:cs="Arial" w:eastAsia="Arial" w:hAnsi="Arial"/>
          <w:b/>
          <w:bCs/>
          <w:color w:val="1F3864"/>
          <w:sz w:val="36"/>
          <w:szCs w:val="36"/>
        </w:rPr>
        <w:t xml:space="preserve">2. Method Overview</w:t>
      </w:r>
    </w:p>
    <w:p>
      <w:pPr>
        <w:spacing w:after="120"/>
      </w:pPr>
      <w:r>
        <w:rPr>
          <w:rFonts w:ascii="Arial" w:cs="Arial" w:eastAsia="Arial" w:hAnsi="Arial"/>
          <w:b w:val="false"/>
          <w:bCs w:val="false"/>
          <w:color w:val="000000"/>
          <w:sz w:val="20"/>
          <w:szCs w:val="20"/>
        </w:rPr>
        <w:t xml:space="preserve">The table below summarises the key characteristics of each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2E5FA3" w:sz="1"/>
              <w:left w:val="single" w:color="2E5FA3" w:sz="1"/>
              <w:bottom w:val="single" w:color="2E5FA3" w:sz="1"/>
              <w:right w:val="single" w:color="2E5FA3" w:sz="1"/>
            </w:tcBorders>
            <w:shd w:fill="2E5FA3"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Property</w:t>
            </w:r>
          </w:p>
        </w:tc>
        <w:tc>
          <w:tcPr>
            <w:tcW w:type="dxa" w:w="2520"/>
            <w:tcBorders>
              <w:top w:val="single" w:color="2E5FA3" w:sz="1"/>
              <w:left w:val="single" w:color="2E5FA3" w:sz="1"/>
              <w:bottom w:val="single" w:color="2E5FA3" w:sz="1"/>
              <w:right w:val="single" w:color="2E5FA3"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CarenR</w:t>
            </w:r>
          </w:p>
        </w:tc>
        <w:tc>
          <w:tcPr>
            <w:tcW w:type="dxa" w:w="2520"/>
            <w:tcBorders>
              <w:top w:val="single" w:color="2E5FA3" w:sz="1"/>
              <w:left w:val="single" w:color="2E5FA3" w:sz="1"/>
              <w:bottom w:val="single" w:color="2E5FA3" w:sz="1"/>
              <w:right w:val="single" w:color="2E5FA3" w:sz="1"/>
            </w:tcBorders>
            <w:shd w:fill="5D403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RIPPER</w:t>
            </w:r>
          </w:p>
        </w:tc>
        <w:tc>
          <w:tcPr>
            <w:tcW w:type="dxa" w:w="2520"/>
            <w:tcBorders>
              <w:top w:val="single" w:color="2E5FA3" w:sz="1"/>
              <w:left w:val="single" w:color="2E5FA3" w:sz="1"/>
              <w:bottom w:val="single" w:color="2E5FA3" w:sz="1"/>
              <w:right w:val="single" w:color="2E5FA3"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M5Rules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Task type</w:t>
            </w:r>
          </w:p>
        </w:tc>
        <w:tc>
          <w:tcPr>
            <w:tcW w:type="dxa" w:w="25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Distribution discovery</w:t>
            </w:r>
          </w:p>
        </w:tc>
        <w:tc>
          <w:tcPr>
            <w:tcW w:type="dxa" w:w="252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Classification</w:t>
            </w:r>
          </w:p>
        </w:tc>
        <w:tc>
          <w:tcPr>
            <w:tcW w:type="dxa" w:w="252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Regression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Target variable</w:t>
            </w:r>
          </w:p>
        </w:tc>
        <w:tc>
          <w:tcPr>
            <w:tcW w:type="dxa" w:w="25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Wine_mhl (continuous distribution)</w:t>
            </w:r>
          </w:p>
        </w:tc>
        <w:tc>
          <w:tcPr>
            <w:tcW w:type="dxa" w:w="252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Wine class: Low / Medium / High</w:t>
            </w:r>
          </w:p>
        </w:tc>
        <w:tc>
          <w:tcPr>
            <w:tcW w:type="dxa" w:w="252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Wine_mhl (continuous value)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Question answered</w:t>
            </w:r>
          </w:p>
        </w:tc>
        <w:tc>
          <w:tcPr>
            <w:tcW w:type="dxa" w:w="25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When does the shape of the production distribution shift?</w:t>
            </w:r>
          </w:p>
        </w:tc>
        <w:tc>
          <w:tcPr>
            <w:tcW w:type="dxa" w:w="252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Which climate class does a year belong to?</w:t>
            </w:r>
          </w:p>
        </w:tc>
        <w:tc>
          <w:tcPr>
            <w:tcW w:type="dxa" w:w="252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What exact production level does a year have?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Statistical test</w:t>
            </w:r>
          </w:p>
        </w:tc>
        <w:tc>
          <w:tcPr>
            <w:tcW w:type="dxa" w:w="25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KS test (p &lt; 0.05) — compares subgroup distribution to global</w:t>
            </w:r>
          </w:p>
        </w:tc>
        <w:tc>
          <w:tcPr>
            <w:tcW w:type="dxa" w:w="252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Gini / information gain — finds class-separating thresholds</w:t>
            </w:r>
          </w:p>
        </w:tc>
        <w:tc>
          <w:tcPr>
            <w:tcW w:type="dxa" w:w="252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Mean squared error minimisation — finds linear models per leaf</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Rule output</w:t>
            </w:r>
          </w:p>
        </w:tc>
        <w:tc>
          <w:tcPr>
            <w:tcW w:type="dxa" w:w="25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IF conditions THEN distribution shifts up/down</w:t>
            </w:r>
          </w:p>
        </w:tc>
        <w:tc>
          <w:tcPr>
            <w:tcW w:type="dxa" w:w="252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IF conditions THEN class = Low / Medium / High</w:t>
            </w:r>
          </w:p>
        </w:tc>
        <w:tc>
          <w:tcPr>
            <w:tcW w:type="dxa" w:w="252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IF conditions THEN production = linear model(features)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Features used</w:t>
            </w:r>
          </w:p>
        </w:tc>
        <w:tc>
          <w:tcPr>
            <w:tcW w:type="dxa" w:w="25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Discretised intervals (e.g. iaf_hv_y1_c10=[0|0.915))</w:t>
            </w:r>
          </w:p>
        </w:tc>
        <w:tc>
          <w:tcPr>
            <w:tcW w:type="dxa" w:w="252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Continuous — RIPPER finds its own thresholds</w:t>
            </w:r>
          </w:p>
        </w:tc>
        <w:tc>
          <w:tcPr>
            <w:tcW w:type="dxa" w:w="252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Continuous — M5Rules finds its own thresholds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Interpretability</w:t>
            </w:r>
          </w:p>
        </w:tc>
        <w:tc>
          <w:tcPr>
            <w:tcW w:type="dxa" w:w="25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Very high — simple IF/THEN with climate meaning</w:t>
            </w:r>
          </w:p>
        </w:tc>
        <w:tc>
          <w:tcPr>
            <w:tcW w:type="dxa" w:w="252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High — IF/THEN classification rules</w:t>
            </w:r>
          </w:p>
        </w:tc>
        <w:tc>
          <w:tcPr>
            <w:tcW w:type="dxa" w:w="252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Medium — rules have linear models at leaves</w:t>
            </w:r>
          </w:p>
        </w:tc>
      </w:tr>
    </w:tbl>
    <w:p>
      <w:r>
        <w:br w:type="page"/>
      </w:r>
    </w:p>
    <w:p>
      <w:pPr>
        <w:pStyle w:val="Heading1"/>
        <w:spacing w:after="120" w:before="360"/>
      </w:pPr>
      <w:r>
        <w:rPr>
          <w:rFonts w:ascii="Arial" w:cs="Arial" w:eastAsia="Arial" w:hAnsi="Arial"/>
          <w:b/>
          <w:bCs/>
          <w:color w:val="1F3864"/>
          <w:sz w:val="36"/>
          <w:szCs w:val="36"/>
        </w:rPr>
        <w:t xml:space="preserve">3. Discovered Rules by Method</w:t>
      </w:r>
    </w:p>
    <w:p>
      <w:pPr>
        <w:pStyle w:val="Heading2"/>
        <w:pBdr>
          <w:bottom w:val="single" w:color="2E5FA3" w:sz="4" w:space="1"/>
        </w:pBdr>
        <w:spacing w:after="80" w:before="280"/>
      </w:pPr>
      <w:r>
        <w:rPr>
          <w:rFonts w:ascii="Arial" w:cs="Arial" w:eastAsia="Arial" w:hAnsi="Arial"/>
          <w:b/>
          <w:bCs/>
          <w:color w:val="2E5FA3"/>
          <w:sz w:val="26"/>
          <w:szCs w:val="26"/>
        </w:rPr>
        <w:t xml:space="preserve">3.1  RIPPER  (Classification Rules)</w:t>
      </w:r>
    </w:p>
    <w:p>
      <w:pPr>
        <w:spacing w:after="120"/>
      </w:pPr>
      <w:r>
        <w:rPr>
          <w:rFonts w:ascii="Arial" w:cs="Arial" w:eastAsia="Arial" w:hAnsi="Arial"/>
          <w:b w:val="false"/>
          <w:bCs w:val="false"/>
          <w:color w:val="000000"/>
          <w:sz w:val="20"/>
          <w:szCs w:val="20"/>
        </w:rPr>
        <w:t xml:space="preserve">RIPPER divides each year into one of three production classes (Low / Medium / High) based on climate thresholds. It finds the minimum set of rules that explains the data.</w:t>
      </w:r>
    </w:p>
    <w:p>
      <w:pPr>
        <w:spacing w:after="80" w:before="80"/>
      </w:pPr>
      <w:r>
        <w:rPr>
          <w:rFonts w:ascii="Arial" w:cs="Arial" w:eastAsia="Arial" w:hAnsi="Arial"/>
          <w:b/>
          <w:bCs/>
          <w:sz w:val="20"/>
          <w:szCs w:val="20"/>
        </w:rPr>
        <w:t xml:space="preserve">Class boundaries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5FA3" w:sz="1"/>
              <w:left w:val="single" w:color="2E5FA3" w:sz="1"/>
              <w:bottom w:val="single" w:color="2E5FA3" w:sz="1"/>
              <w:right w:val="single" w:color="2E5FA3" w:sz="1"/>
            </w:tcBorders>
            <w:shd w:fill="5D403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Region</w:t>
            </w:r>
          </w:p>
        </w:tc>
        <w:tc>
          <w:tcPr>
            <w:tcW w:type="dxa" w:w="2340"/>
            <w:tcBorders>
              <w:top w:val="single" w:color="2E5FA3" w:sz="1"/>
              <w:left w:val="single" w:color="2E5FA3" w:sz="1"/>
              <w:bottom w:val="single" w:color="2E5FA3" w:sz="1"/>
              <w:right w:val="single" w:color="2E5FA3" w:sz="1"/>
            </w:tcBorders>
            <w:shd w:fill="5D403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Low (mhl)</w:t>
            </w:r>
          </w:p>
        </w:tc>
        <w:tc>
          <w:tcPr>
            <w:tcW w:type="dxa" w:w="2340"/>
            <w:tcBorders>
              <w:top w:val="single" w:color="2E5FA3" w:sz="1"/>
              <w:left w:val="single" w:color="2E5FA3" w:sz="1"/>
              <w:bottom w:val="single" w:color="2E5FA3" w:sz="1"/>
              <w:right w:val="single" w:color="2E5FA3" w:sz="1"/>
            </w:tcBorders>
            <w:shd w:fill="5D403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Medium (mhl)</w:t>
            </w:r>
          </w:p>
        </w:tc>
        <w:tc>
          <w:tcPr>
            <w:tcW w:type="dxa" w:w="2340"/>
            <w:tcBorders>
              <w:top w:val="single" w:color="2E5FA3" w:sz="1"/>
              <w:left w:val="single" w:color="2E5FA3" w:sz="1"/>
              <w:bottom w:val="single" w:color="2E5FA3" w:sz="1"/>
              <w:right w:val="single" w:color="2E5FA3" w:sz="1"/>
            </w:tcBorders>
            <w:shd w:fill="5D403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High (mhl)</w:t>
            </w:r>
          </w:p>
        </w:tc>
      </w:tr>
      <w:tr>
        <w:tc>
          <w:tcPr>
            <w:tcW w:type="dxa" w:w="234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RDD (Douro)</w:t>
            </w:r>
          </w:p>
        </w:tc>
        <w:tc>
          <w:tcPr>
            <w:tcW w:type="dxa" w:w="234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&lt; 975</w:t>
            </w:r>
          </w:p>
        </w:tc>
        <w:tc>
          <w:tcPr>
            <w:tcW w:type="dxa" w:w="234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975 – 1,239</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&gt; 1,239</w:t>
            </w:r>
          </w:p>
        </w:tc>
      </w:tr>
      <w:tr>
        <w:tc>
          <w:tcPr>
            <w:tcW w:type="dxa" w:w="234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RVV (Vinho Verde)</w:t>
            </w:r>
          </w:p>
        </w:tc>
        <w:tc>
          <w:tcPr>
            <w:tcW w:type="dxa" w:w="234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&lt; 1,090</w:t>
            </w:r>
          </w:p>
        </w:tc>
        <w:tc>
          <w:tcPr>
            <w:tcW w:type="dxa" w:w="234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1,090 – 1,900</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&gt; 1,900</w:t>
            </w:r>
          </w:p>
        </w:tc>
      </w:tr>
    </w:tbl>
    <w:p>
      <w:pPr>
        <w:spacing w:after="80" w:before="200"/>
      </w:pPr>
      <w:r>
        <w:rPr>
          <w:rFonts w:ascii="Arial" w:cs="Arial" w:eastAsia="Arial" w:hAnsi="Arial"/>
          <w:b/>
          <w:bCs/>
          <w:sz w:val="20"/>
          <w:szCs w:val="20"/>
        </w:rPr>
        <w:t xml:space="preserve">Rules discovered: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00"/>
        <w:gridCol w:w="3460"/>
        <w:gridCol w:w="1600"/>
        <w:gridCol w:w="3100"/>
      </w:tblGrid>
      <w:tr>
        <w:tc>
          <w:tcPr>
            <w:tcW w:type="dxa" w:w="500"/>
            <w:tcBorders>
              <w:top w:val="single" w:color="2E5FA3" w:sz="1"/>
              <w:left w:val="single" w:color="2E5FA3" w:sz="1"/>
              <w:bottom w:val="single" w:color="2E5FA3" w:sz="1"/>
              <w:right w:val="single" w:color="2E5FA3" w:sz="1"/>
            </w:tcBorders>
            <w:shd w:fill="5D403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t>
            </w:r>
          </w:p>
        </w:tc>
        <w:tc>
          <w:tcPr>
            <w:tcW w:type="dxa" w:w="700"/>
            <w:tcBorders>
              <w:top w:val="single" w:color="2E5FA3" w:sz="1"/>
              <w:left w:val="single" w:color="2E5FA3" w:sz="1"/>
              <w:bottom w:val="single" w:color="2E5FA3" w:sz="1"/>
              <w:right w:val="single" w:color="2E5FA3" w:sz="1"/>
            </w:tcBorders>
            <w:shd w:fill="5D403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Region</w:t>
            </w:r>
          </w:p>
        </w:tc>
        <w:tc>
          <w:tcPr>
            <w:tcW w:type="dxa" w:w="3460"/>
            <w:tcBorders>
              <w:top w:val="single" w:color="2E5FA3" w:sz="1"/>
              <w:left w:val="single" w:color="2E5FA3" w:sz="1"/>
              <w:bottom w:val="single" w:color="2E5FA3" w:sz="1"/>
              <w:right w:val="single" w:color="2E5FA3" w:sz="1"/>
            </w:tcBorders>
            <w:shd w:fill="5D403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Condition(s)</w:t>
            </w:r>
          </w:p>
        </w:tc>
        <w:tc>
          <w:tcPr>
            <w:tcW w:type="dxa" w:w="1600"/>
            <w:tcBorders>
              <w:top w:val="single" w:color="2E5FA3" w:sz="1"/>
              <w:left w:val="single" w:color="2E5FA3" w:sz="1"/>
              <w:bottom w:val="single" w:color="2E5FA3" w:sz="1"/>
              <w:right w:val="single" w:color="2E5FA3" w:sz="1"/>
            </w:tcBorders>
            <w:shd w:fill="5D403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Predicts</w:t>
            </w:r>
          </w:p>
        </w:tc>
        <w:tc>
          <w:tcPr>
            <w:tcW w:type="dxa" w:w="3100"/>
            <w:tcBorders>
              <w:top w:val="single" w:color="2E5FA3" w:sz="1"/>
              <w:left w:val="single" w:color="2E5FA3" w:sz="1"/>
              <w:bottom w:val="single" w:color="2E5FA3" w:sz="1"/>
              <w:right w:val="single" w:color="2E5FA3" w:sz="1"/>
            </w:tcBorders>
            <w:shd w:fill="5D403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Plain-language meaning</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R1</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RDD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tn_hv_y0_a30 &gt;= 20.58°C</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8"/>
                <w:szCs w:val="18"/>
              </w:rPr>
              <w:t xml:space="preserve">HIGH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If previous-year harvest nights were warm (&gt;20.6°C), production tends to be high. Covers 26 years.</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R2</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RDD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(default — all other years)</w:t>
            </w:r>
          </w:p>
        </w:tc>
        <w:tc>
          <w:tcPr>
            <w:tcW w:type="dxa" w:w="1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7F0000"/>
                <w:sz w:val="18"/>
                <w:szCs w:val="18"/>
              </w:rPr>
              <w:t xml:space="preserve">LOW</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All remaining RDD years default to Low. Reflects how hard RDD is to model positively.</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R3</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RVV</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tm_sm_y0_a20 &lt;= 19.9°C
AND swa_hv_y1_a20 &lt;= 206 mm</w:t>
            </w:r>
          </w:p>
        </w:tc>
        <w:tc>
          <w:tcPr>
            <w:tcW w:type="dxa" w:w="1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7F0000"/>
                <w:sz w:val="18"/>
                <w:szCs w:val="18"/>
              </w:rPr>
              <w:t xml:space="preserve">MEDIUM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Cool previous summer + low current soil water at harvest → medium production. Covers 26 years.</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R4</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RVV</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rf_hv_y1_a10 &lt;= 37.7 mm
AND tn_hv_y0_a30 &gt;= 17.2°C</w:t>
            </w:r>
          </w:p>
        </w:tc>
        <w:tc>
          <w:tcPr>
            <w:tcW w:type="dxa" w:w="1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7F0000"/>
                <w:sz w:val="18"/>
                <w:szCs w:val="18"/>
              </w:rPr>
              <w:t xml:space="preserve">LOW</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Low harvest rainfall + warm previous-year harvest nights → low production. Covers 22 years.</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R5</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RVV</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(default — all other years)</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8"/>
                <w:szCs w:val="18"/>
              </w:rPr>
              <w:t xml:space="preserve">HIGH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All remaining RVV years default to High. High is the most common outcome in Vinho Verde.</w:t>
            </w:r>
          </w:p>
        </w:tc>
      </w:tr>
    </w:tbl>
    <w:p>
      <w:pPr>
        <w:spacing w:after="80" w:before="160"/>
      </w:pPr>
      <w:r>
        <w:rPr>
          <w:rFonts w:ascii="Arial" w:cs="Arial" w:eastAsia="Arial" w:hAnsi="Arial"/>
          <w:b/>
          <w:bCs/>
          <w:sz w:val="20"/>
          <w:szCs w:val="20"/>
        </w:rPr>
        <w:t xml:space="preserve">Cross-validation accuracy (10-fold):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5FA3" w:sz="1"/>
              <w:left w:val="single" w:color="2E5FA3" w:sz="1"/>
              <w:bottom w:val="single" w:color="2E5FA3" w:sz="1"/>
              <w:right w:val="single" w:color="2E5FA3" w:sz="1"/>
            </w:tcBorders>
            <w:shd w:fill="5D403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Region</w:t>
            </w:r>
          </w:p>
        </w:tc>
        <w:tc>
          <w:tcPr>
            <w:tcW w:type="dxa" w:w="2340"/>
            <w:tcBorders>
              <w:top w:val="single" w:color="2E5FA3" w:sz="1"/>
              <w:left w:val="single" w:color="2E5FA3" w:sz="1"/>
              <w:bottom w:val="single" w:color="2E5FA3" w:sz="1"/>
              <w:right w:val="single" w:color="2E5FA3" w:sz="1"/>
            </w:tcBorders>
            <w:shd w:fill="5D403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CV Accuracy</w:t>
            </w:r>
          </w:p>
        </w:tc>
        <w:tc>
          <w:tcPr>
            <w:tcW w:type="dxa" w:w="2340"/>
            <w:tcBorders>
              <w:top w:val="single" w:color="2E5FA3" w:sz="1"/>
              <w:left w:val="single" w:color="2E5FA3" w:sz="1"/>
              <w:bottom w:val="single" w:color="2E5FA3" w:sz="1"/>
              <w:right w:val="single" w:color="2E5FA3" w:sz="1"/>
            </w:tcBorders>
            <w:shd w:fill="5D403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Kappa</w:t>
            </w:r>
          </w:p>
        </w:tc>
        <w:tc>
          <w:tcPr>
            <w:tcW w:type="dxa" w:w="2340"/>
            <w:tcBorders>
              <w:top w:val="single" w:color="2E5FA3" w:sz="1"/>
              <w:left w:val="single" w:color="2E5FA3" w:sz="1"/>
              <w:bottom w:val="single" w:color="2E5FA3" w:sz="1"/>
              <w:right w:val="single" w:color="2E5FA3" w:sz="1"/>
            </w:tcBorders>
            <w:shd w:fill="5D403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Interpretation</w:t>
            </w:r>
          </w:p>
        </w:tc>
      </w:tr>
      <w:tr>
        <w:tc>
          <w:tcPr>
            <w:tcW w:type="dxa" w:w="234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RDD</w:t>
            </w:r>
          </w:p>
        </w:tc>
        <w:tc>
          <w:tcPr>
            <w:tcW w:type="dxa" w:w="234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37.5%</w:t>
            </w:r>
          </w:p>
        </w:tc>
        <w:tc>
          <w:tcPr>
            <w:tcW w:type="dxa" w:w="234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0.06 (near zero)</w:t>
            </w:r>
          </w:p>
        </w:tc>
        <w:tc>
          <w:tcPr>
            <w:tcW w:type="dxa" w:w="234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Essentially random — rules do not generalise</w:t>
            </w:r>
          </w:p>
        </w:tc>
      </w:tr>
      <w:tr>
        <w:tc>
          <w:tcPr>
            <w:tcW w:type="dxa" w:w="234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RVV</w:t>
            </w:r>
          </w:p>
        </w:tc>
        <w:tc>
          <w:tcPr>
            <w:tcW w:type="dxa" w:w="234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46.3%</w:t>
            </w:r>
          </w:p>
        </w:tc>
        <w:tc>
          <w:tcPr>
            <w:tcW w:type="dxa" w:w="234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0.19 (fair)</w:t>
            </w:r>
          </w:p>
        </w:tc>
        <w:tc>
          <w:tcPr>
            <w:tcW w:type="dxa" w:w="234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Slight signal but not strong enough for prediction</w:t>
            </w:r>
          </w:p>
        </w:tc>
      </w:tr>
    </w:tbl>
    <w:p>
      <w:r>
        <w:br w:type="page"/>
      </w:r>
    </w:p>
    <w:p>
      <w:pPr>
        <w:pStyle w:val="Heading2"/>
        <w:pBdr>
          <w:bottom w:val="single" w:color="2E5FA3" w:sz="4" w:space="1"/>
        </w:pBdr>
        <w:spacing w:after="80" w:before="280"/>
      </w:pPr>
      <w:r>
        <w:rPr>
          <w:rFonts w:ascii="Arial" w:cs="Arial" w:eastAsia="Arial" w:hAnsi="Arial"/>
          <w:b/>
          <w:bCs/>
          <w:color w:val="2E5FA3"/>
          <w:sz w:val="26"/>
          <w:szCs w:val="26"/>
        </w:rPr>
        <w:t xml:space="preserve">3.2  M5Rules  (Regression Rules)</w:t>
      </w:r>
    </w:p>
    <w:p>
      <w:pPr>
        <w:spacing w:after="120"/>
      </w:pPr>
      <w:r>
        <w:rPr>
          <w:rFonts w:ascii="Arial" w:cs="Arial" w:eastAsia="Arial" w:hAnsi="Arial"/>
          <w:b w:val="false"/>
          <w:bCs w:val="false"/>
          <w:color w:val="000000"/>
          <w:sz w:val="20"/>
          <w:szCs w:val="20"/>
        </w:rPr>
        <w:t xml:space="preserve">M5Rules works directly with the continuous production value. Instead of assigning a class, each rule produces a linear model — a formula combining several climate features to estimate an exact production number. This makes M5Rules the only method that produces a direct numerical forecast.</w:t>
      </w:r>
    </w:p>
    <w:p>
      <w:pPr>
        <w:pStyle w:val="Heading3"/>
        <w:spacing w:after="60" w:before="200"/>
      </w:pPr>
      <w:r>
        <w:rPr>
          <w:rFonts w:ascii="Arial" w:cs="Arial" w:eastAsia="Arial" w:hAnsi="Arial"/>
          <w:b/>
          <w:bCs/>
          <w:color w:val="1F3864"/>
          <w:sz w:val="22"/>
          <w:szCs w:val="22"/>
        </w:rPr>
        <w:t xml:space="preserve">RDD — 1 Rule (full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F1F8E9" w:val="clear"/>
            <w:tcMar>
              <w:top w:type="dxa" w:w="120"/>
              <w:left w:type="dxa" w:w="200"/>
              <w:bottom w:type="dxa" w:w="120"/>
              <w:right w:type="dxa" w:w="200"/>
            </w:tcMar>
          </w:tcPr>
          <w:p>
            <w:r>
              <w:rPr>
                <w:rFonts w:ascii="Arial" w:cs="Arial" w:eastAsia="Arial" w:hAnsi="Arial"/>
                <w:b/>
                <w:bCs/>
                <w:color w:val="2E7D32"/>
                <w:sz w:val="20"/>
                <w:szCs w:val="20"/>
              </w:rPr>
              <w:t xml:space="preserve">No condition — applies to all 88 years</w:t>
            </w:r>
          </w:p>
          <w:p>
            <w:pPr>
              <w:spacing w:before="80"/>
            </w:pPr>
            <w:r>
              <w:rPr>
                <w:rFonts w:ascii="Courier New" w:cs="Courier New" w:eastAsia="Courier New" w:hAnsi="Courier New"/>
                <w:sz w:val="19"/>
                <w:szCs w:val="19"/>
              </w:rPr>
              <w:t xml:space="preserve">Wine_mhl = 35.1 × tm_fl_y1_c15  +  28.2 × tm_fl_y0_b10  −  85.2 × tm_bb_y0_a30</w:t>
            </w:r>
          </w:p>
          <w:p>
            <w:r>
              <w:rPr>
                <w:rFonts w:ascii="Courier New" w:cs="Courier New" w:eastAsia="Courier New" w:hAnsi="Courier New"/>
                <w:sz w:val="19"/>
                <w:szCs w:val="19"/>
              </w:rPr>
              <w:t xml:space="preserve">           +  26.0 × tm_hv_y1_c10  +  39.2 × tn_hv_y0_a30  −  16.2 × tm.days.less.15_fl_y1_b15</w:t>
            </w:r>
          </w:p>
          <w:p>
            <w:r>
              <w:rPr>
                <w:rFonts w:ascii="Courier New" w:cs="Courier New" w:eastAsia="Courier New" w:hAnsi="Courier New"/>
                <w:sz w:val="19"/>
                <w:szCs w:val="19"/>
              </w:rPr>
              <w:t xml:space="preserve">           +  2811 × iaf_fl_y0_b10  −  2724 × iaf_fl_y0_b20  −  327</w:t>
            </w:r>
          </w:p>
        </w:tc>
      </w:tr>
    </w:tbl>
    <w:p>
      <w:pPr>
        <w:spacing w:after="80" w:before="100"/>
      </w:pPr>
      <w:r>
        <w:rPr>
          <w:rFonts w:ascii="Arial" w:cs="Arial" w:eastAsia="Arial" w:hAnsi="Arial"/>
          <w:b/>
          <w:bCs/>
          <w:sz w:val="20"/>
          <w:szCs w:val="20"/>
        </w:rPr>
        <w:t xml:space="preserve">Key features: </w:t>
      </w:r>
      <w:r>
        <w:rPr>
          <w:rFonts w:ascii="Arial" w:cs="Arial" w:eastAsia="Arial" w:hAnsi="Arial"/>
          <w:sz w:val="20"/>
          <w:szCs w:val="20"/>
        </w:rPr>
        <w:t xml:space="preserve">Flowering temperature (current + previous year), bud-break temperature, harvest temperature and night temperature, cold days at flowering, and LAI (vine leafiness) at flowering in the previous year.</w:t>
      </w:r>
    </w:p>
    <w:p>
      <w:pPr>
        <w:pStyle w:val="Heading3"/>
        <w:spacing w:after="60" w:before="200"/>
      </w:pPr>
      <w:r>
        <w:rPr>
          <w:rFonts w:ascii="Arial" w:cs="Arial" w:eastAsia="Arial" w:hAnsi="Arial"/>
          <w:b/>
          <w:bCs/>
          <w:color w:val="1F3864"/>
          <w:sz w:val="22"/>
          <w:szCs w:val="22"/>
        </w:rPr>
        <w:t xml:space="preserve">RVV — 2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F1F8E9" w:val="clear"/>
            <w:tcMar>
              <w:top w:type="dxa" w:w="120"/>
              <w:left w:type="dxa" w:w="200"/>
              <w:bottom w:type="dxa" w:w="120"/>
              <w:right w:type="dxa" w:w="200"/>
            </w:tcMar>
          </w:tcPr>
          <w:p>
            <w:r>
              <w:rPr>
                <w:rFonts w:ascii="Arial" w:cs="Arial" w:eastAsia="Arial" w:hAnsi="Arial"/>
                <w:b/>
                <w:bCs/>
                <w:color w:val="2E7D32"/>
                <w:sz w:val="20"/>
                <w:szCs w:val="20"/>
              </w:rPr>
              <w:t xml:space="preserve">Rule 1 — IF  rf_hv_y1_a10 ≤ 38.6 mm  AND  tm_sm_y0_a20 &gt; 20°C  (covers 32 years)</w:t>
            </w:r>
          </w:p>
          <w:p>
            <w:pPr>
              <w:spacing w:before="80"/>
            </w:pPr>
            <w:r>
              <w:rPr>
                <w:rFonts w:ascii="Courier New" w:cs="Courier New" w:eastAsia="Courier New" w:hAnsi="Courier New"/>
                <w:sz w:val="19"/>
                <w:szCs w:val="19"/>
              </w:rPr>
              <w:t xml:space="preserve">Wine_mhl = −96.5 × tm_fl_y0_b10  −  122.4 × tm_sm_y1_c20  −  51.9 × tm_sm_y0_a20  +  114.4 × tm_hv_y1_c10</w:t>
            </w:r>
          </w:p>
          <w:p>
            <w:r>
              <w:rPr>
                <w:rFonts w:ascii="Courier New" w:cs="Courier New" w:eastAsia="Courier New" w:hAnsi="Courier New"/>
                <w:sz w:val="19"/>
                <w:szCs w:val="19"/>
              </w:rPr>
              <w:t xml:space="preserve">           +  18.1 × days.hot35_sm  +  0.89 × rf_hv_y1_a10  −  swa terms  +  4600</w:t>
            </w:r>
          </w:p>
          <w:p>
            <w:pPr>
              <w:spacing w:before="60"/>
            </w:pPr>
            <w:r>
              <w:rPr>
                <w:rFonts w:ascii="Arial" w:cs="Arial" w:eastAsia="Arial" w:hAnsi="Arial"/>
                <w:color w:val="444444"/>
                <w:sz w:val="18"/>
                <w:szCs w:val="18"/>
              </w:rPr>
              <w:t xml:space="preserve">Condition: Low harvest rain AND warm previous summer</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E8F5E9" w:val="clear"/>
            <w:tcMar>
              <w:top w:type="dxa" w:w="120"/>
              <w:left w:type="dxa" w:w="200"/>
              <w:bottom w:type="dxa" w:w="120"/>
              <w:right w:type="dxa" w:w="200"/>
            </w:tcMar>
          </w:tcPr>
          <w:p>
            <w:r>
              <w:rPr>
                <w:rFonts w:ascii="Arial" w:cs="Arial" w:eastAsia="Arial" w:hAnsi="Arial"/>
                <w:b/>
                <w:bCs/>
                <w:color w:val="1B5E20"/>
                <w:sz w:val="20"/>
                <w:szCs w:val="20"/>
              </w:rPr>
              <w:t xml:space="preserve">Rule 2 — default (all remaining years, covers 48 years)</w:t>
            </w:r>
          </w:p>
          <w:p>
            <w:pPr>
              <w:spacing w:before="80"/>
            </w:pPr>
            <w:r>
              <w:rPr>
                <w:rFonts w:ascii="Courier New" w:cs="Courier New" w:eastAsia="Courier New" w:hAnsi="Courier New"/>
                <w:sz w:val="19"/>
                <w:szCs w:val="19"/>
              </w:rPr>
              <w:t xml:space="preserve">Wine_mhl = −115.7 × tm_fl_y0_b10  −  8.75 × swa_fl_y1_a15  +  5287</w:t>
            </w:r>
          </w:p>
          <w:p>
            <w:pPr>
              <w:spacing w:before="60"/>
            </w:pPr>
            <w:r>
              <w:rPr>
                <w:rFonts w:ascii="Arial" w:cs="Arial" w:eastAsia="Arial" w:hAnsi="Arial"/>
                <w:color w:val="444444"/>
                <w:sz w:val="18"/>
                <w:szCs w:val="18"/>
              </w:rPr>
              <w:t xml:space="preserve">Simple 2-feature model for the majority of years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5FA3" w:sz="1"/>
              <w:left w:val="single" w:color="2E5FA3" w:sz="1"/>
              <w:bottom w:val="single" w:color="2E5FA3" w:sz="1"/>
              <w:right w:val="single" w:color="2E5FA3"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Region</w:t>
            </w:r>
          </w:p>
        </w:tc>
        <w:tc>
          <w:tcPr>
            <w:tcW w:type="dxa" w:w="2340"/>
            <w:tcBorders>
              <w:top w:val="single" w:color="2E5FA3" w:sz="1"/>
              <w:left w:val="single" w:color="2E5FA3" w:sz="1"/>
              <w:bottom w:val="single" w:color="2E5FA3" w:sz="1"/>
              <w:right w:val="single" w:color="2E5FA3"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Training R²</w:t>
            </w:r>
          </w:p>
        </w:tc>
        <w:tc>
          <w:tcPr>
            <w:tcW w:type="dxa" w:w="2340"/>
            <w:tcBorders>
              <w:top w:val="single" w:color="2E5FA3" w:sz="1"/>
              <w:left w:val="single" w:color="2E5FA3" w:sz="1"/>
              <w:bottom w:val="single" w:color="2E5FA3" w:sz="1"/>
              <w:right w:val="single" w:color="2E5FA3"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CV R²</w:t>
            </w:r>
          </w:p>
        </w:tc>
        <w:tc>
          <w:tcPr>
            <w:tcW w:type="dxa" w:w="2340"/>
            <w:tcBorders>
              <w:top w:val="single" w:color="2E5FA3" w:sz="1"/>
              <w:left w:val="single" w:color="2E5FA3" w:sz="1"/>
              <w:bottom w:val="single" w:color="2E5FA3" w:sz="1"/>
              <w:right w:val="single" w:color="2E5FA3"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vs Naive baseline</w:t>
            </w:r>
          </w:p>
        </w:tc>
      </w:tr>
      <w:tr>
        <w:tc>
          <w:tcPr>
            <w:tcW w:type="dxa" w:w="234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RDD</w:t>
            </w:r>
          </w:p>
        </w:tc>
        <w:tc>
          <w:tcPr>
            <w:tcW w:type="dxa" w:w="234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0.40 (moderate fit)</w:t>
            </w:r>
          </w:p>
        </w:tc>
        <w:tc>
          <w:tcPr>
            <w:tcW w:type="dxa" w:w="234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−0.08 (fails OOS)</w:t>
            </w:r>
          </w:p>
        </w:tc>
        <w:tc>
          <w:tcPr>
            <w:tcW w:type="dxa" w:w="234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Worse than naive</w:t>
            </w:r>
          </w:p>
        </w:tc>
      </w:tr>
      <w:tr>
        <w:tc>
          <w:tcPr>
            <w:tcW w:type="dxa" w:w="234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RVV</w:t>
            </w:r>
          </w:p>
        </w:tc>
        <w:tc>
          <w:tcPr>
            <w:tcW w:type="dxa" w:w="234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0.53 (good fit)</w:t>
            </w:r>
          </w:p>
        </w:tc>
        <w:tc>
          <w:tcPr>
            <w:tcW w:type="dxa" w:w="234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−0.16 (fails OOS)</w:t>
            </w:r>
          </w:p>
        </w:tc>
        <w:tc>
          <w:tcPr>
            <w:tcW w:type="dxa" w:w="234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Worse than naive</w:t>
            </w:r>
          </w:p>
        </w:tc>
      </w:tr>
    </w:tbl>
    <w:p>
      <w:pPr>
        <w:spacing w:after="80" w:before="100"/>
      </w:pPr>
      <w:r>
        <w:rPr>
          <w:rFonts w:ascii="Arial" w:cs="Arial" w:eastAsia="Arial" w:hAnsi="Arial"/>
          <w:color w:val="555555"/>
          <w:sz w:val="18"/>
          <w:szCs w:val="18"/>
        </w:rPr>
        <w:t xml:space="preserve">OOS = out-of-sample (cross-validation). Negative R² means the model is worse than simply predicting the historical mean.</w:t>
      </w:r>
    </w:p>
    <w:p>
      <w:r>
        <w:br w:type="page"/>
      </w:r>
    </w:p>
    <w:p>
      <w:pPr>
        <w:pStyle w:val="Heading2"/>
        <w:pBdr>
          <w:bottom w:val="single" w:color="2E5FA3" w:sz="4" w:space="1"/>
        </w:pBdr>
        <w:spacing w:after="80" w:before="280"/>
      </w:pPr>
      <w:r>
        <w:rPr>
          <w:rFonts w:ascii="Arial" w:cs="Arial" w:eastAsia="Arial" w:hAnsi="Arial"/>
          <w:b/>
          <w:bCs/>
          <w:color w:val="2E5FA3"/>
          <w:sz w:val="26"/>
          <w:szCs w:val="26"/>
        </w:rPr>
        <w:t xml:space="preserve">3.3  CarenR  (Distribution Rules)</w:t>
      </w:r>
    </w:p>
    <w:p>
      <w:pPr>
        <w:spacing w:after="120"/>
      </w:pPr>
      <w:r>
        <w:rPr>
          <w:rFonts w:ascii="Arial" w:cs="Arial" w:eastAsia="Arial" w:hAnsi="Arial"/>
          <w:b w:val="false"/>
          <w:bCs w:val="false"/>
          <w:color w:val="000000"/>
          <w:sz w:val="20"/>
          <w:szCs w:val="20"/>
        </w:rPr>
        <w:t xml:space="preserve">CarenR asks a different question: not "which class does this year belong to?" but "when does the statistical shape of production change significantly?" A rule is accepted only if a KS test (p &lt; 0.05) confirms that the subgroup distribution differs from the global one. This makes CarenR rules statistically grounded and more stable.</w:t>
      </w:r>
    </w:p>
    <w:p>
      <w:pPr>
        <w:spacing w:after="120"/>
      </w:pPr>
      <w:r>
        <w:rPr>
          <w:rFonts w:ascii="Arial" w:cs="Arial" w:eastAsia="Arial" w:hAnsi="Arial"/>
          <w:b w:val="false"/>
          <w:bCs w:val="false"/>
          <w:color w:val="000000"/>
          <w:sz w:val="20"/>
          <w:szCs w:val="20"/>
        </w:rPr>
        <w:t xml:space="preserve">RDD rules are pending (to be added once the RDD CarenR run is completed). Below are the 22 RVV rules, grouped by dominant theme.</w:t>
      </w:r>
    </w:p>
    <w:p>
      <w:pPr>
        <w:pStyle w:val="Heading3"/>
        <w:spacing w:after="60" w:before="200"/>
      </w:pPr>
      <w:r>
        <w:rPr>
          <w:rFonts w:ascii="Arial" w:cs="Arial" w:eastAsia="Arial" w:hAnsi="Arial"/>
          <w:b/>
          <w:bCs/>
          <w:color w:val="1F3864"/>
          <w:sz w:val="22"/>
          <w:szCs w:val="22"/>
        </w:rPr>
        <w:t xml:space="preserve">RVV — 22 Rules  |  Global mean: 1,621 mhl</w:t>
      </w:r>
    </w:p>
    <w:p>
      <w:pPr>
        <w:spacing w:after="120"/>
      </w:pPr>
      <w:r>
        <w:rPr>
          <w:rFonts w:ascii="Arial" w:cs="Arial" w:eastAsia="Arial" w:hAnsi="Arial"/>
          <w:b w:val="false"/>
          <w:bCs w:val="false"/>
          <w:color w:val="000000"/>
          <w:sz w:val="20"/>
          <w:szCs w:val="20"/>
        </w:rPr>
        <w:t xml:space="preserve">The rules naturally fall into two families driven by a single dominant feature: LAI at harvest (iaf_hv_y1_c10) — the Leaf Area Index, which measures vine leafiness during the harvest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A" w:sz="1"/>
              <w:left w:val="single" w:color="1B4F8A" w:sz="1"/>
              <w:bottom w:val="single" w:color="1B4F8A" w:sz="1"/>
              <w:right w:val="single" w:color="1B4F8A" w:sz="1"/>
            </w:tcBorders>
            <w:shd w:fill="EBF3FB" w:val="clear"/>
            <w:tcMar>
              <w:top w:type="dxa" w:w="120"/>
              <w:left w:type="dxa" w:w="200"/>
              <w:bottom w:type="dxa" w:w="120"/>
              <w:right w:type="dxa" w:w="200"/>
            </w:tcMar>
          </w:tcPr>
          <w:p>
            <w:r>
              <w:rPr>
                <w:rFonts w:ascii="Arial" w:cs="Arial" w:eastAsia="Arial" w:hAnsi="Arial"/>
                <w:b/>
                <w:bCs/>
                <w:color w:val="1B4F8A"/>
                <w:sz w:val="20"/>
                <w:szCs w:val="20"/>
              </w:rPr>
              <w:t xml:space="preserve">What is LAI?  (iaf_hv_y1_c10)</w:t>
            </w:r>
          </w:p>
          <w:p>
            <w:pPr>
              <w:spacing w:before="60"/>
            </w:pPr>
            <w:r>
              <w:rPr>
                <w:rFonts w:ascii="Arial" w:cs="Arial" w:eastAsia="Arial" w:hAnsi="Arial"/>
                <w:sz w:val="20"/>
                <w:szCs w:val="20"/>
              </w:rPr>
              <w:t xml:space="preserve">Leaf Area Index (LAI) = total leaf area per unit of ground. Low LAI at harvest means the vine has fewer/smaller leaves, which concentrates sugar and nutrients into fewer berries, typically yielding higher production quantities. High LAI means the vine is too leafy — energy goes into foliage, reducing grape yield.</w:t>
            </w:r>
          </w:p>
          <w:p>
            <w:pPr>
              <w:spacing w:before="60"/>
            </w:pPr>
            <w:r>
              <w:rPr>
                <w:rFonts w:ascii="Arial" w:cs="Arial" w:eastAsia="Arial" w:hAnsi="Arial"/>
                <w:b/>
                <w:bCs/>
                <w:sz w:val="20"/>
                <w:szCs w:val="20"/>
              </w:rPr>
              <w:t xml:space="preserve">Threshold: </w:t>
            </w:r>
            <w:r>
              <w:rPr>
                <w:rFonts w:ascii="Arial" w:cs="Arial" w:eastAsia="Arial" w:hAnsi="Arial"/>
                <w:sz w:val="20"/>
                <w:szCs w:val="20"/>
              </w:rPr>
              <w:t xml:space="preserve">iaf_hv_y1_c10 &lt; 0.915  →  HIGH production  (13 rules agree)</w:t>
            </w:r>
          </w:p>
          <w:p>
            <w:r>
              <w:rPr>
                <w:rFonts w:ascii="Arial" w:cs="Arial" w:eastAsia="Arial" w:hAnsi="Arial"/>
                <w:b/>
                <w:bCs/>
                <w:sz w:val="20"/>
                <w:szCs w:val="20"/>
              </w:rPr>
              <w:t xml:space="preserve">Threshold: </w:t>
            </w:r>
            <w:r>
              <w:rPr>
                <w:rFonts w:ascii="Arial" w:cs="Arial" w:eastAsia="Arial" w:hAnsi="Arial"/>
                <w:sz w:val="20"/>
                <w:szCs w:val="20"/>
              </w:rPr>
              <w:t xml:space="preserve">iaf_hv_y1_c10 ≥ 0.915  →  LOW production   (9 rules agree)</w:t>
            </w:r>
          </w:p>
        </w:tc>
      </w:tr>
    </w:tbl>
    <w:p>
      <w:pPr>
        <w:spacing w:after="80" w:before="160"/>
      </w:pPr>
      <w:r>
        <w:rPr>
          <w:rFonts w:ascii="Arial" w:cs="Arial" w:eastAsia="Arial" w:hAnsi="Arial"/>
          <w:b/>
          <w:bCs/>
          <w:color w:val="1B5E20"/>
          <w:sz w:val="20"/>
          <w:szCs w:val="20"/>
        </w:rPr>
        <w:t xml:space="preserve">HIGH production rules (mean well above 1,621 mhl):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4660"/>
        <w:gridCol w:w="2600"/>
      </w:tblGrid>
      <w:tr>
        <w:tc>
          <w:tcPr>
            <w:tcW w:type="dxa" w:w="500"/>
            <w:tcBorders>
              <w:top w:val="single" w:color="2E5FA3" w:sz="1"/>
              <w:left w:val="single" w:color="2E5FA3" w:sz="1"/>
              <w:bottom w:val="single" w:color="2E5FA3" w:sz="1"/>
              <w:right w:val="single" w:color="2E5FA3" w:sz="1"/>
            </w:tcBorders>
            <w:shd w:fill="1B5E2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t>
            </w:r>
          </w:p>
        </w:tc>
        <w:tc>
          <w:tcPr>
            <w:tcW w:type="dxa" w:w="1600"/>
            <w:tcBorders>
              <w:top w:val="single" w:color="2E5FA3" w:sz="1"/>
              <w:left w:val="single" w:color="2E5FA3" w:sz="1"/>
              <w:bottom w:val="single" w:color="2E5FA3" w:sz="1"/>
              <w:right w:val="single" w:color="2E5FA3" w:sz="1"/>
            </w:tcBorders>
            <w:shd w:fill="1B5E2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Support</w:t>
            </w:r>
          </w:p>
        </w:tc>
        <w:tc>
          <w:tcPr>
            <w:tcW w:type="dxa" w:w="4660"/>
            <w:tcBorders>
              <w:top w:val="single" w:color="2E5FA3" w:sz="1"/>
              <w:left w:val="single" w:color="2E5FA3" w:sz="1"/>
              <w:bottom w:val="single" w:color="2E5FA3" w:sz="1"/>
              <w:right w:val="single" w:color="2E5FA3" w:sz="1"/>
            </w:tcBorders>
            <w:shd w:fill="1B5E2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Conditions</w:t>
            </w:r>
          </w:p>
        </w:tc>
        <w:tc>
          <w:tcPr>
            <w:tcW w:type="dxa" w:w="2600"/>
            <w:tcBorders>
              <w:top w:val="single" w:color="2E5FA3" w:sz="1"/>
              <w:left w:val="single" w:color="2E5FA3" w:sz="1"/>
              <w:bottom w:val="single" w:color="2E5FA3" w:sz="1"/>
              <w:right w:val="single" w:color="2E5FA3" w:sz="1"/>
            </w:tcBorders>
            <w:shd w:fill="1B5E2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Subgroup mean</w:t>
            </w:r>
          </w:p>
        </w:tc>
      </w:tr>
      <w:tr>
        <w:tc>
          <w:tcPr>
            <w:tcW w:type="dxa" w:w="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w:t>
            </w:r>
          </w:p>
        </w:tc>
        <w:tc>
          <w:tcPr>
            <w:tcW w:type="dxa" w:w="1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27.5% (22 yrs)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iaf_hv_y1_c10 &lt; 0.915  AND  no extreme heat days at maturation</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2,039 mhl (+26%)</w:t>
            </w:r>
          </w:p>
        </w:tc>
      </w:tr>
      <w:tr>
        <w:tc>
          <w:tcPr>
            <w:tcW w:type="dxa" w:w="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6</w:t>
            </w:r>
          </w:p>
        </w:tc>
        <w:tc>
          <w:tcPr>
            <w:tcW w:type="dxa" w:w="1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26.3% (21 yrs)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iaf_hv_y1_c10 &lt; 0.915  AND  no extreme heat  AND  prev-yr summer 15–19°C</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2,067 mhl (+28%)</w:t>
            </w:r>
          </w:p>
        </w:tc>
      </w:tr>
      <w:tr>
        <w:tc>
          <w:tcPr>
            <w:tcW w:type="dxa" w:w="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7</w:t>
            </w:r>
          </w:p>
        </w:tc>
        <w:tc>
          <w:tcPr>
            <w:tcW w:type="dxa" w:w="1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25.0% (20 yrs)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iaf_hv_y1_c10 &lt; 0.915  AND  no extreme heat  AND  harvest temp 13–19°C</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2,098 mhl (+30%)</w:t>
            </w:r>
          </w:p>
        </w:tc>
      </w:tr>
      <w:tr>
        <w:tc>
          <w:tcPr>
            <w:tcW w:type="dxa" w:w="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9</w:t>
            </w:r>
          </w:p>
        </w:tc>
        <w:tc>
          <w:tcPr>
            <w:tcW w:type="dxa" w:w="1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21.3% (17 yrs)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iaf_hv_y1_c10 &lt; 0.915  AND  summer temp (current yr) 16.5–20.2°C</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2,126 mhl (+31%)</w:t>
            </w:r>
          </w:p>
        </w:tc>
      </w:tr>
      <w:tr>
        <w:tc>
          <w:tcPr>
            <w:tcW w:type="dxa" w:w="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12</w:t>
            </w:r>
          </w:p>
        </w:tc>
        <w:tc>
          <w:tcPr>
            <w:tcW w:type="dxa" w:w="1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32.5% (26 yrs)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iaf_hv_y1_c10 &lt; 0.915  (LAI alone)</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1,999 mhl (+23%)</w:t>
            </w:r>
          </w:p>
        </w:tc>
      </w:tr>
      <w:tr>
        <w:tc>
          <w:tcPr>
            <w:tcW w:type="dxa" w:w="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16</w:t>
            </w:r>
          </w:p>
        </w:tc>
        <w:tc>
          <w:tcPr>
            <w:tcW w:type="dxa" w:w="1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30.0% (24 yrs)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iaf_hv_y1_c10 &lt; 0.915  AND  prev-yr summer 15–19°C</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2,051 mhl (+27%)</w:t>
            </w:r>
          </w:p>
        </w:tc>
      </w:tr>
      <w:tr>
        <w:tc>
          <w:tcPr>
            <w:tcW w:type="dxa" w:w="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w:t>
            </w:r>
          </w:p>
        </w:tc>
        <w:tc>
          <w:tcPr>
            <w:tcW w:type="dxa" w:w="1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20.0% (16 yrs)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Summer temp (current) 16.5–20.2°C  AND  prev-yr summer 15.4–19.1°C</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2,188 mhl (+35%)</w:t>
            </w:r>
          </w:p>
        </w:tc>
      </w:tr>
      <w:tr>
        <w:tc>
          <w:tcPr>
            <w:tcW w:type="dxa" w:w="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11</w:t>
            </w:r>
          </w:p>
        </w:tc>
        <w:tc>
          <w:tcPr>
            <w:tcW w:type="dxa" w:w="1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30.0% (24 yrs)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Prev-yr summer 15.4–19.1°C  AND  no extreme heat days</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2,027 mhl (+25%)</w:t>
            </w:r>
          </w:p>
        </w:tc>
      </w:tr>
      <w:tr>
        <w:tc>
          <w:tcPr>
            <w:tcW w:type="dxa" w:w="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13</w:t>
            </w:r>
          </w:p>
        </w:tc>
        <w:tc>
          <w:tcPr>
            <w:tcW w:type="dxa" w:w="1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26.3% (21 yrs)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Prev-yr harvest nights 10–15°C  AND  no extreme heat</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1,934 mhl (+19%)</w:t>
            </w:r>
          </w:p>
        </w:tc>
      </w:tr>
    </w:tbl>
    <w:p>
      <w:pPr>
        <w:spacing w:after="80" w:before="200"/>
      </w:pPr>
      <w:r>
        <w:rPr>
          <w:rFonts w:ascii="Arial" w:cs="Arial" w:eastAsia="Arial" w:hAnsi="Arial"/>
          <w:b/>
          <w:bCs/>
          <w:color w:val="7F0000"/>
          <w:sz w:val="20"/>
          <w:szCs w:val="20"/>
        </w:rPr>
        <w:t xml:space="preserve">LOW production rules (mean well below 1,621 mhl):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4660"/>
        <w:gridCol w:w="2600"/>
      </w:tblGrid>
      <w:tr>
        <w:tc>
          <w:tcPr>
            <w:tcW w:type="dxa" w:w="500"/>
            <w:tcBorders>
              <w:top w:val="single" w:color="2E5FA3" w:sz="1"/>
              <w:left w:val="single" w:color="2E5FA3" w:sz="1"/>
              <w:bottom w:val="single" w:color="2E5FA3" w:sz="1"/>
              <w:right w:val="single" w:color="2E5FA3" w:sz="1"/>
            </w:tcBorders>
            <w:shd w:fill="B71C1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t>
            </w:r>
          </w:p>
        </w:tc>
        <w:tc>
          <w:tcPr>
            <w:tcW w:type="dxa" w:w="1600"/>
            <w:tcBorders>
              <w:top w:val="single" w:color="2E5FA3" w:sz="1"/>
              <w:left w:val="single" w:color="2E5FA3" w:sz="1"/>
              <w:bottom w:val="single" w:color="2E5FA3" w:sz="1"/>
              <w:right w:val="single" w:color="2E5FA3" w:sz="1"/>
            </w:tcBorders>
            <w:shd w:fill="B71C1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Support</w:t>
            </w:r>
          </w:p>
        </w:tc>
        <w:tc>
          <w:tcPr>
            <w:tcW w:type="dxa" w:w="4660"/>
            <w:tcBorders>
              <w:top w:val="single" w:color="2E5FA3" w:sz="1"/>
              <w:left w:val="single" w:color="2E5FA3" w:sz="1"/>
              <w:bottom w:val="single" w:color="2E5FA3" w:sz="1"/>
              <w:right w:val="single" w:color="2E5FA3" w:sz="1"/>
            </w:tcBorders>
            <w:shd w:fill="B71C1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Conditions</w:t>
            </w:r>
          </w:p>
        </w:tc>
        <w:tc>
          <w:tcPr>
            <w:tcW w:type="dxa" w:w="2600"/>
            <w:tcBorders>
              <w:top w:val="single" w:color="2E5FA3" w:sz="1"/>
              <w:left w:val="single" w:color="2E5FA3" w:sz="1"/>
              <w:bottom w:val="single" w:color="2E5FA3" w:sz="1"/>
              <w:right w:val="single" w:color="2E5FA3" w:sz="1"/>
            </w:tcBorders>
            <w:shd w:fill="B71C1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Subgroup mean</w:t>
            </w:r>
          </w:p>
        </w:tc>
      </w:tr>
      <w:tr>
        <w:tc>
          <w:tcPr>
            <w:tcW w:type="dxa" w:w="5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4</w:t>
            </w:r>
          </w:p>
        </w:tc>
        <w:tc>
          <w:tcPr>
            <w:tcW w:type="dxa" w:w="1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26.3% (21 yrs)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Low prev-yr soil water at harvest (both windows)  AND  high LAI</w:t>
            </w:r>
          </w:p>
        </w:tc>
        <w:tc>
          <w:tcPr>
            <w:tcW w:type="dxa" w:w="2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1,109 mhl (−32%)</w:t>
            </w:r>
          </w:p>
        </w:tc>
      </w:tr>
      <w:tr>
        <w:tc>
          <w:tcPr>
            <w:tcW w:type="dxa" w:w="5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5</w:t>
            </w:r>
          </w:p>
        </w:tc>
        <w:tc>
          <w:tcPr>
            <w:tcW w:type="dxa" w:w="1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28.8% (23 yrs)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Low prev-yr soil water at harvest (swa_hv_y0_a20)  AND  high LAI</w:t>
            </w:r>
          </w:p>
        </w:tc>
        <w:tc>
          <w:tcPr>
            <w:tcW w:type="dxa" w:w="2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1,109 mhl (−32%)</w:t>
            </w:r>
          </w:p>
        </w:tc>
      </w:tr>
      <w:tr>
        <w:tc>
          <w:tcPr>
            <w:tcW w:type="dxa" w:w="5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8</w:t>
            </w:r>
          </w:p>
        </w:tc>
        <w:tc>
          <w:tcPr>
            <w:tcW w:type="dxa" w:w="1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25.0% (20 yrs)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Warm prev-yr harvest nights (18–22°C)  AND  low soil water  AND  high LAI</w:t>
            </w:r>
          </w:p>
        </w:tc>
        <w:tc>
          <w:tcPr>
            <w:tcW w:type="dxa" w:w="2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1,108 mhl (−32%)</w:t>
            </w:r>
          </w:p>
        </w:tc>
      </w:tr>
      <w:tr>
        <w:tc>
          <w:tcPr>
            <w:tcW w:type="dxa" w:w="5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10</w:t>
            </w:r>
          </w:p>
        </w:tc>
        <w:tc>
          <w:tcPr>
            <w:tcW w:type="dxa" w:w="1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22.5% (18 yrs)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Warm prev-yr harvest nights  AND  low prev-yr soil water  AND  high LAI</w:t>
            </w:r>
          </w:p>
        </w:tc>
        <w:tc>
          <w:tcPr>
            <w:tcW w:type="dxa" w:w="2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1,109 mhl (−32%)</w:t>
            </w:r>
          </w:p>
        </w:tc>
      </w:tr>
      <w:tr>
        <w:tc>
          <w:tcPr>
            <w:tcW w:type="dxa" w:w="5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22</w:t>
            </w:r>
          </w:p>
        </w:tc>
        <w:tc>
          <w:tcPr>
            <w:tcW w:type="dxa" w:w="1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30.0% (24 yrs)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Low prev-yr soil water at harvest (swa_hv_y0_a15)  AND  high LAI</w:t>
            </w:r>
          </w:p>
        </w:tc>
        <w:tc>
          <w:tcPr>
            <w:tcW w:type="dxa" w:w="2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1,153 mhl (−29%)</w:t>
            </w:r>
          </w:p>
        </w:tc>
      </w:tr>
      <w:tr>
        <w:tc>
          <w:tcPr>
            <w:tcW w:type="dxa" w:w="5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w:t>
            </w:r>
          </w:p>
        </w:tc>
        <w:tc>
          <w:tcPr>
            <w:tcW w:type="dxa" w:w="1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22.5% (18 yrs)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Narrow LAI band at flowering (prev yr)  AND  high LAI at harvest</w:t>
            </w:r>
          </w:p>
        </w:tc>
        <w:tc>
          <w:tcPr>
            <w:tcW w:type="dxa" w:w="2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1,266 mhl (−22%)</w:t>
            </w:r>
          </w:p>
        </w:tc>
      </w:tr>
      <w:tr>
        <w:tc>
          <w:tcPr>
            <w:tcW w:type="dxa" w:w="5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15</w:t>
            </w:r>
          </w:p>
        </w:tc>
        <w:tc>
          <w:tcPr>
            <w:tcW w:type="dxa" w:w="1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20.0% (16 yrs)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Warm prev-yr bud-break (13.5–15°C)  AND  high LAI at harvest</w:t>
            </w:r>
          </w:p>
        </w:tc>
        <w:tc>
          <w:tcPr>
            <w:tcW w:type="dxa" w:w="2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1,313 mhl (−19%)</w:t>
            </w:r>
          </w:p>
        </w:tc>
      </w:tr>
    </w:tbl>
    <w:p>
      <w:r>
        <w:br w:type="page"/>
      </w:r>
    </w:p>
    <w:p>
      <w:pPr>
        <w:pStyle w:val="Heading1"/>
        <w:spacing w:after="120" w:before="360"/>
      </w:pPr>
      <w:r>
        <w:rPr>
          <w:rFonts w:ascii="Arial" w:cs="Arial" w:eastAsia="Arial" w:hAnsi="Arial"/>
          <w:b/>
          <w:bCs/>
          <w:color w:val="1F3864"/>
          <w:sz w:val="36"/>
          <w:szCs w:val="36"/>
        </w:rPr>
        <w:t xml:space="preserve">4. Cross-Method Feature Comparison</w:t>
      </w:r>
    </w:p>
    <w:p>
      <w:pPr>
        <w:spacing w:after="120"/>
      </w:pPr>
      <w:r>
        <w:rPr>
          <w:rFonts w:ascii="Arial" w:cs="Arial" w:eastAsia="Arial" w:hAnsi="Arial"/>
          <w:b w:val="false"/>
          <w:bCs w:val="false"/>
          <w:color w:val="000000"/>
          <w:sz w:val="20"/>
          <w:szCs w:val="20"/>
        </w:rPr>
        <w:t xml:space="preserve">The table below shows which features were selected by each method for each region. Agreement across methods strengthens confidence that a feature is genuinely important.</w:t>
      </w:r>
    </w:p>
    <w:p>
      <w:pPr>
        <w:pStyle w:val="Heading2"/>
        <w:pBdr>
          <w:bottom w:val="single" w:color="2E5FA3" w:sz="4" w:space="1"/>
        </w:pBdr>
        <w:spacing w:after="80" w:before="280"/>
      </w:pPr>
      <w:r>
        <w:rPr>
          <w:rFonts w:ascii="Arial" w:cs="Arial" w:eastAsia="Arial" w:hAnsi="Arial"/>
          <w:b/>
          <w:bCs/>
          <w:color w:val="2E5FA3"/>
          <w:sz w:val="26"/>
          <w:szCs w:val="26"/>
        </w:rPr>
        <w:t xml:space="preserve">4.1  Vinho Verde (RVV)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1200"/>
        <w:gridCol w:w="1200"/>
        <w:gridCol w:w="2260"/>
        <w:gridCol w:w="1000"/>
      </w:tblGrid>
      <w:tr>
        <w:tc>
          <w:tcPr>
            <w:tcW w:type="dxa" w:w="3500"/>
            <w:tcBorders>
              <w:top w:val="single" w:color="2E5FA3" w:sz="1"/>
              <w:left w:val="single" w:color="2E5FA3" w:sz="1"/>
              <w:bottom w:val="single" w:color="2E5FA3" w:sz="1"/>
              <w:right w:val="single" w:color="2E5FA3"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Feature</w:t>
            </w:r>
          </w:p>
        </w:tc>
        <w:tc>
          <w:tcPr>
            <w:tcW w:type="dxa" w:w="1200"/>
            <w:tcBorders>
              <w:top w:val="single" w:color="2E5FA3" w:sz="1"/>
              <w:left w:val="single" w:color="2E5FA3" w:sz="1"/>
              <w:bottom w:val="single" w:color="2E5FA3" w:sz="1"/>
              <w:right w:val="single" w:color="2E5FA3"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CarenR</w:t>
            </w:r>
          </w:p>
        </w:tc>
        <w:tc>
          <w:tcPr>
            <w:tcW w:type="dxa" w:w="1200"/>
            <w:tcBorders>
              <w:top w:val="single" w:color="2E5FA3" w:sz="1"/>
              <w:left w:val="single" w:color="2E5FA3" w:sz="1"/>
              <w:bottom w:val="single" w:color="2E5FA3" w:sz="1"/>
              <w:right w:val="single" w:color="2E5FA3"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RIPPER</w:t>
            </w:r>
          </w:p>
        </w:tc>
        <w:tc>
          <w:tcPr>
            <w:tcW w:type="dxa" w:w="1200"/>
            <w:tcBorders>
              <w:top w:val="single" w:color="2E5FA3" w:sz="1"/>
              <w:left w:val="single" w:color="2E5FA3" w:sz="1"/>
              <w:bottom w:val="single" w:color="2E5FA3" w:sz="1"/>
              <w:right w:val="single" w:color="2E5FA3"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M5Rules</w:t>
            </w:r>
          </w:p>
        </w:tc>
        <w:tc>
          <w:tcPr>
            <w:tcW w:type="dxa" w:w="2260"/>
            <w:tcBorders>
              <w:top w:val="single" w:color="2E5FA3" w:sz="1"/>
              <w:left w:val="single" w:color="2E5FA3" w:sz="1"/>
              <w:bottom w:val="single" w:color="2E5FA3" w:sz="1"/>
              <w:right w:val="single" w:color="2E5FA3"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Agronomic meaning</w:t>
            </w:r>
          </w:p>
        </w:tc>
        <w:tc>
          <w:tcPr>
            <w:tcW w:type="dxa" w:w="1000"/>
            <w:tcBorders>
              <w:top w:val="single" w:color="2E5FA3" w:sz="1"/>
              <w:left w:val="single" w:color="2E5FA3" w:sz="1"/>
              <w:bottom w:val="single" w:color="2E5FA3" w:sz="1"/>
              <w:right w:val="single" w:color="2E5FA3"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Agreement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iaf_hv_y1_c10  (LAI at harvest)</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 dominant</w:t>
            </w:r>
          </w:p>
        </w:tc>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c>
          <w:tcPr>
            <w:tcW w:type="dxa" w:w="22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Vine leafiness at harvest — core CarenR signal</w:t>
            </w:r>
          </w:p>
        </w:tc>
        <w:tc>
          <w:tcPr>
            <w:tcW w:type="dxa" w:w="10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w:t>
            </w:r>
          </w:p>
        </w:tc>
      </w:tr>
      <w:tr>
        <w:tc>
          <w:tcPr>
            <w:tcW w:type="dxa" w:w="3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tm_sm_y0_a20  (prev-yr summer temp)</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 (condition)</w:t>
            </w:r>
          </w:p>
        </w:tc>
        <w:tc>
          <w:tcPr>
            <w:tcW w:type="dxa" w:w="22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Previous summer temperature — builds vine reserves</w:t>
            </w:r>
          </w:p>
        </w:tc>
        <w:tc>
          <w:tcPr>
            <w:tcW w:type="dxa" w:w="10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w:t>
            </w:r>
          </w:p>
        </w:tc>
      </w:tr>
      <w:tr>
        <w:tc>
          <w:tcPr>
            <w:tcW w:type="dxa" w:w="3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swa_hv_y1_a20  (soil water at harvest)</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c>
          <w:tcPr>
            <w:tcW w:type="dxa" w:w="22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Current soil water at harvest — vine stress signal</w:t>
            </w:r>
          </w:p>
        </w:tc>
        <w:tc>
          <w:tcPr>
            <w:tcW w:type="dxa" w:w="10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tn_hv_y0_a30  (prev-yr harvest nights)</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c>
          <w:tcPr>
            <w:tcW w:type="dxa" w:w="22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Warm nights at prev-yr harvest — plant health</w:t>
            </w:r>
          </w:p>
        </w:tc>
        <w:tc>
          <w:tcPr>
            <w:tcW w:type="dxa" w:w="1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rf_hv_y1_a10  (harvest rainfall)</w:t>
            </w:r>
          </w:p>
        </w:tc>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 (condition)</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 (condition)</w:t>
            </w:r>
          </w:p>
        </w:tc>
        <w:tc>
          <w:tcPr>
            <w:tcW w:type="dxa" w:w="22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Low rainfall at harvest can reduce/concentrate yield</w:t>
            </w:r>
          </w:p>
        </w:tc>
        <w:tc>
          <w:tcPr>
            <w:tcW w:type="dxa" w:w="1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tm_fl_y0_b10  (prev-yr flowering temp)</w:t>
            </w:r>
          </w:p>
        </w:tc>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c>
          <w:tcPr>
            <w:tcW w:type="dxa" w:w="22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Temperature carry-over from previous year</w:t>
            </w:r>
          </w:p>
        </w:tc>
        <w:tc>
          <w:tcPr>
            <w:tcW w:type="dxa" w:w="1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iaf_fl_y0_b10/b20  (LAI at flowering)</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 (minor)</w:t>
            </w:r>
          </w:p>
        </w:tc>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c>
          <w:tcPr>
            <w:tcW w:type="dxa" w:w="22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Vine status at previous-year flowering</w:t>
            </w:r>
          </w:p>
        </w:tc>
        <w:tc>
          <w:tcPr>
            <w:tcW w:type="dxa" w:w="1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r>
    </w:tbl>
    <w:p>
      <w:pPr>
        <w:pStyle w:val="Heading2"/>
        <w:pBdr>
          <w:bottom w:val="single" w:color="2E5FA3" w:sz="4" w:space="1"/>
        </w:pBdr>
        <w:spacing w:after="80" w:before="280"/>
      </w:pPr>
      <w:r>
        <w:rPr>
          <w:rFonts w:ascii="Arial" w:cs="Arial" w:eastAsia="Arial" w:hAnsi="Arial"/>
          <w:b/>
          <w:bCs/>
          <w:color w:val="2E5FA3"/>
          <w:sz w:val="26"/>
          <w:szCs w:val="26"/>
        </w:rPr>
        <w:t xml:space="preserve">4.2  Douro (RDD)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1200"/>
        <w:gridCol w:w="1200"/>
        <w:gridCol w:w="2260"/>
        <w:gridCol w:w="1000"/>
      </w:tblGrid>
      <w:tr>
        <w:tc>
          <w:tcPr>
            <w:tcW w:type="dxa" w:w="3500"/>
            <w:tcBorders>
              <w:top w:val="single" w:color="2E5FA3" w:sz="1"/>
              <w:left w:val="single" w:color="2E5FA3" w:sz="1"/>
              <w:bottom w:val="single" w:color="2E5FA3" w:sz="1"/>
              <w:right w:val="single" w:color="2E5FA3"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Feature</w:t>
            </w:r>
          </w:p>
        </w:tc>
        <w:tc>
          <w:tcPr>
            <w:tcW w:type="dxa" w:w="1200"/>
            <w:tcBorders>
              <w:top w:val="single" w:color="2E5FA3" w:sz="1"/>
              <w:left w:val="single" w:color="2E5FA3" w:sz="1"/>
              <w:bottom w:val="single" w:color="2E5FA3" w:sz="1"/>
              <w:right w:val="single" w:color="2E5FA3"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CarenR</w:t>
            </w:r>
          </w:p>
        </w:tc>
        <w:tc>
          <w:tcPr>
            <w:tcW w:type="dxa" w:w="1200"/>
            <w:tcBorders>
              <w:top w:val="single" w:color="2E5FA3" w:sz="1"/>
              <w:left w:val="single" w:color="2E5FA3" w:sz="1"/>
              <w:bottom w:val="single" w:color="2E5FA3" w:sz="1"/>
              <w:right w:val="single" w:color="2E5FA3"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RIPPER</w:t>
            </w:r>
          </w:p>
        </w:tc>
        <w:tc>
          <w:tcPr>
            <w:tcW w:type="dxa" w:w="1200"/>
            <w:tcBorders>
              <w:top w:val="single" w:color="2E5FA3" w:sz="1"/>
              <w:left w:val="single" w:color="2E5FA3" w:sz="1"/>
              <w:bottom w:val="single" w:color="2E5FA3" w:sz="1"/>
              <w:right w:val="single" w:color="2E5FA3"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M5Rules</w:t>
            </w:r>
          </w:p>
        </w:tc>
        <w:tc>
          <w:tcPr>
            <w:tcW w:type="dxa" w:w="2260"/>
            <w:tcBorders>
              <w:top w:val="single" w:color="2E5FA3" w:sz="1"/>
              <w:left w:val="single" w:color="2E5FA3" w:sz="1"/>
              <w:bottom w:val="single" w:color="2E5FA3" w:sz="1"/>
              <w:right w:val="single" w:color="2E5FA3"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Agronomic meaning</w:t>
            </w:r>
          </w:p>
        </w:tc>
        <w:tc>
          <w:tcPr>
            <w:tcW w:type="dxa" w:w="1000"/>
            <w:tcBorders>
              <w:top w:val="single" w:color="2E5FA3" w:sz="1"/>
              <w:left w:val="single" w:color="2E5FA3" w:sz="1"/>
              <w:bottom w:val="single" w:color="2E5FA3" w:sz="1"/>
              <w:right w:val="single" w:color="2E5FA3"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Agreement</w:t>
            </w:r>
          </w:p>
        </w:tc>
      </w:tr>
      <w:tr>
        <w:tc>
          <w:tcPr>
            <w:tcW w:type="dxa" w:w="3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tm_fl_y1_c15  (flowering temp, late window)</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c>
          <w:tcPr>
            <w:tcW w:type="dxa" w:w="22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Warmer flowering → more production</w:t>
            </w:r>
          </w:p>
        </w:tc>
        <w:tc>
          <w:tcPr>
            <w:tcW w:type="dxa" w:w="10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w:t>
            </w:r>
          </w:p>
        </w:tc>
      </w:tr>
      <w:tr>
        <w:tc>
          <w:tcPr>
            <w:tcW w:type="dxa" w:w="3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tm.days.less.15_fl_y1_b15  (cold days)</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c>
          <w:tcPr>
            <w:tcW w:type="dxa" w:w="22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Fewer cold days at flowering → more production</w:t>
            </w:r>
          </w:p>
        </w:tc>
        <w:tc>
          <w:tcPr>
            <w:tcW w:type="dxa" w:w="10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swa_fl_y1_a15  (soil water at flowering)</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c>
          <w:tcPr>
            <w:tcW w:type="dxa" w:w="22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Soil moisture at flowering (CarenR only)</w:t>
            </w:r>
          </w:p>
        </w:tc>
        <w:tc>
          <w:tcPr>
            <w:tcW w:type="dxa" w:w="1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tm_fl_y1_a10  (early flowering temp)</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c>
          <w:tcPr>
            <w:tcW w:type="dxa" w:w="22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Temperature before flowering period</w:t>
            </w:r>
          </w:p>
        </w:tc>
        <w:tc>
          <w:tcPr>
            <w:tcW w:type="dxa" w:w="1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days.rf.above.1mm_fl_y1_c15  (rainy days)</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c>
          <w:tcPr>
            <w:tcW w:type="dxa" w:w="22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Wet flowering → Low production (CarenR only)</w:t>
            </w:r>
          </w:p>
        </w:tc>
        <w:tc>
          <w:tcPr>
            <w:tcW w:type="dxa" w:w="1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r>
      <w:tr>
        <w:tc>
          <w:tcPr>
            <w:tcW w:type="dxa" w:w="3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tn_hv_y0_a30  (prev-yr harvest nights)</w:t>
            </w:r>
          </w:p>
        </w:tc>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 (High rule)</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c>
          <w:tcPr>
            <w:tcW w:type="dxa" w:w="22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Warm nights build vine reserves</w:t>
            </w:r>
          </w:p>
        </w:tc>
        <w:tc>
          <w:tcPr>
            <w:tcW w:type="dxa" w:w="10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iaf_fl_y0_b10/b20  (LAI at flowering, prev yr)</w:t>
            </w:r>
          </w:p>
        </w:tc>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c>
          <w:tcPr>
            <w:tcW w:type="dxa" w:w="22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LAI differential at previous-year flowering</w:t>
            </w:r>
          </w:p>
        </w:tc>
        <w:tc>
          <w:tcPr>
            <w:tcW w:type="dxa" w:w="1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r>
    </w:tbl>
    <w:p>
      <w:r>
        <w:br w:type="page"/>
      </w:r>
    </w:p>
    <w:p>
      <w:pPr>
        <w:pStyle w:val="Heading1"/>
        <w:spacing w:after="120" w:before="360"/>
      </w:pPr>
      <w:r>
        <w:rPr>
          <w:rFonts w:ascii="Arial" w:cs="Arial" w:eastAsia="Arial" w:hAnsi="Arial"/>
          <w:b/>
          <w:bCs/>
          <w:color w:val="1F3864"/>
          <w:sz w:val="36"/>
          <w:szCs w:val="36"/>
        </w:rPr>
        <w:t xml:space="preserve">5. Key Differences Between Methods</w:t>
      </w:r>
    </w:p>
    <w:p>
      <w:pPr>
        <w:pStyle w:val="Heading2"/>
        <w:pBdr>
          <w:bottom w:val="single" w:color="2E5FA3" w:sz="4" w:space="1"/>
        </w:pBdr>
        <w:spacing w:after="80" w:before="280"/>
      </w:pPr>
      <w:r>
        <w:rPr>
          <w:rFonts w:ascii="Arial" w:cs="Arial" w:eastAsia="Arial" w:hAnsi="Arial"/>
          <w:b/>
          <w:bCs/>
          <w:color w:val="2E5FA3"/>
          <w:sz w:val="26"/>
          <w:szCs w:val="26"/>
        </w:rPr>
        <w:t xml:space="preserve">5.1  What each method is best 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2E5FA3" w:sz="1"/>
              <w:left w:val="single" w:color="2E5FA3" w:sz="1"/>
              <w:bottom w:val="single" w:color="2E5FA3" w:sz="1"/>
              <w:right w:val="single" w:color="2E5FA3" w:sz="1"/>
            </w:tcBorders>
            <w:shd w:fill="44444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
            </w:r>
          </w:p>
        </w:tc>
        <w:tc>
          <w:tcPr>
            <w:tcW w:type="dxa" w:w="2520"/>
            <w:tcBorders>
              <w:top w:val="single" w:color="2E5FA3" w:sz="1"/>
              <w:left w:val="single" w:color="2E5FA3" w:sz="1"/>
              <w:bottom w:val="single" w:color="2E5FA3" w:sz="1"/>
              <w:right w:val="single" w:color="2E5FA3"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CarenR</w:t>
            </w:r>
          </w:p>
        </w:tc>
        <w:tc>
          <w:tcPr>
            <w:tcW w:type="dxa" w:w="2520"/>
            <w:tcBorders>
              <w:top w:val="single" w:color="2E5FA3" w:sz="1"/>
              <w:left w:val="single" w:color="2E5FA3" w:sz="1"/>
              <w:bottom w:val="single" w:color="2E5FA3" w:sz="1"/>
              <w:right w:val="single" w:color="2E5FA3" w:sz="1"/>
            </w:tcBorders>
            <w:shd w:fill="5D403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RIPPER</w:t>
            </w:r>
          </w:p>
        </w:tc>
        <w:tc>
          <w:tcPr>
            <w:tcW w:type="dxa" w:w="2520"/>
            <w:tcBorders>
              <w:top w:val="single" w:color="2E5FA3" w:sz="1"/>
              <w:left w:val="single" w:color="2E5FA3" w:sz="1"/>
              <w:bottom w:val="single" w:color="2E5FA3" w:sz="1"/>
              <w:right w:val="single" w:color="2E5FA3"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M5Rules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Best use</w:t>
            </w:r>
          </w:p>
        </w:tc>
        <w:tc>
          <w:tcPr>
            <w:tcW w:type="dxa" w:w="25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Describing when and why the production distribution shifts — agronomic storytelling</w:t>
            </w:r>
          </w:p>
        </w:tc>
        <w:tc>
          <w:tcPr>
            <w:tcW w:type="dxa" w:w="252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Quickly labelling years as good/medium/bad with explainable conditions</w:t>
            </w:r>
          </w:p>
        </w:tc>
        <w:tc>
          <w:tcPr>
            <w:tcW w:type="dxa" w:w="252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Estimating an exact quantity if the model generalises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Rules found</w:t>
            </w:r>
          </w:p>
        </w:tc>
        <w:tc>
          <w:tcPr>
            <w:tcW w:type="dxa" w:w="25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22 RVV / 5 RDD — rich, overlapping subgroup landscape</w:t>
            </w:r>
          </w:p>
        </w:tc>
        <w:tc>
          <w:tcPr>
            <w:tcW w:type="dxa" w:w="252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 RVV / 2 RDD — minimal rule set</w:t>
            </w:r>
          </w:p>
        </w:tc>
        <w:tc>
          <w:tcPr>
            <w:tcW w:type="dxa" w:w="252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 RVV / 1 RDD — very compact, linear-model leaves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Generalisation</w:t>
            </w:r>
          </w:p>
        </w:tc>
        <w:tc>
          <w:tcPr>
            <w:tcW w:type="dxa" w:w="25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Statistically validated (KS test) — rules represent stable distributional facts</w:t>
            </w:r>
          </w:p>
        </w:tc>
        <w:tc>
          <w:tcPr>
            <w:tcW w:type="dxa" w:w="252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Poor (Kappa 0.06–0.19) — rules do not reliably predict new years</w:t>
            </w:r>
          </w:p>
        </w:tc>
        <w:tc>
          <w:tcPr>
            <w:tcW w:type="dxa" w:w="252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Poor (CV R² &lt; 0) — overfits training data badly on both regions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LAI captured?</w:t>
            </w:r>
          </w:p>
        </w:tc>
        <w:tc>
          <w:tcPr>
            <w:tcW w:type="dxa" w:w="25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YES — dominant feature in 20/22 RVV rules</w:t>
            </w:r>
          </w:p>
        </w:tc>
        <w:tc>
          <w:tcPr>
            <w:tcW w:type="dxa" w:w="252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 — not selected by RIPPER at all</w:t>
            </w:r>
          </w:p>
        </w:tc>
        <w:tc>
          <w:tcPr>
            <w:tcW w:type="dxa" w:w="252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 — not selected by M5Rules at all</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Overlap with CarenR</w:t>
            </w:r>
          </w:p>
        </w:tc>
        <w:tc>
          <w:tcPr>
            <w:tcW w:type="dxa" w:w="25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w:t>
            </w:r>
          </w:p>
        </w:tc>
        <w:tc>
          <w:tcPr>
            <w:tcW w:type="dxa" w:w="252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RDD: 0 features shared
RVV: 3 features shared</w:t>
            </w:r>
          </w:p>
        </w:tc>
        <w:tc>
          <w:tcPr>
            <w:tcW w:type="dxa" w:w="252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RDD: 2 features shared
RVV: 2 features shared</w:t>
            </w:r>
          </w:p>
        </w:tc>
      </w:tr>
    </w:tbl>
    <w:p>
      <w:pPr>
        <w:spacing w:after="100" w:before="200"/>
      </w:pPr>
    </w:p>
    <w:p>
      <w:pPr>
        <w:pStyle w:val="Heading2"/>
        <w:pBdr>
          <w:bottom w:val="single" w:color="2E5FA3" w:sz="4" w:space="1"/>
        </w:pBdr>
        <w:spacing w:after="80" w:before="280"/>
      </w:pPr>
      <w:r>
        <w:rPr>
          <w:rFonts w:ascii="Arial" w:cs="Arial" w:eastAsia="Arial" w:hAnsi="Arial"/>
          <w:b/>
          <w:bCs/>
          <w:color w:val="2E5FA3"/>
          <w:sz w:val="26"/>
          <w:szCs w:val="26"/>
        </w:rPr>
        <w:t xml:space="preserve">5.2  Why LAI matters — and why only CarenR finds it</w:t>
      </w:r>
    </w:p>
    <w:p>
      <w:pPr>
        <w:spacing w:after="120"/>
      </w:pPr>
      <w:r>
        <w:rPr>
          <w:rFonts w:ascii="Arial" w:cs="Arial" w:eastAsia="Arial" w:hAnsi="Arial"/>
          <w:b w:val="false"/>
          <w:bCs w:val="false"/>
          <w:color w:val="000000"/>
          <w:sz w:val="20"/>
          <w:szCs w:val="20"/>
        </w:rPr>
        <w:t xml:space="preserve">The most important finding is that LAI (Leaf Area Index at harvest) is the dominant signal in Vinho Verde according to CarenR, appearing in 20 out of 22 rules. Neither RIPPER nor M5Rules selected it. This is not a failure of the other methods — it reflects a fundamental difference in what they optimise:</w:t>
      </w:r>
    </w:p>
    <w:p>
      <w:pPr>
        <w:pStyle w:val="ListParagraph"/>
        <w:numPr>
          <w:ilvl w:val="0"/>
          <w:numId w:val="2"/>
        </w:numPr>
        <w:spacing w:after="80"/>
      </w:pPr>
      <w:r>
        <w:rPr>
          <w:rFonts w:ascii="Arial" w:cs="Arial" w:eastAsia="Arial" w:hAnsi="Arial"/>
          <w:sz w:val="20"/>
          <w:szCs w:val="20"/>
        </w:rPr>
        <w:t xml:space="preserve">RIPPER minimises classification error. LAI correlates with production level, but its relationship is not strong enough to reliably separate Low / Medium / High classes across all years. Other features provide more consistent class separation.</w:t>
      </w:r>
    </w:p>
    <w:p>
      <w:pPr>
        <w:pStyle w:val="ListParagraph"/>
        <w:numPr>
          <w:ilvl w:val="0"/>
          <w:numId w:val="2"/>
        </w:numPr>
        <w:spacing w:after="80"/>
      </w:pPr>
      <w:r>
        <w:rPr>
          <w:rFonts w:ascii="Arial" w:cs="Arial" w:eastAsia="Arial" w:hAnsi="Arial"/>
          <w:sz w:val="20"/>
          <w:szCs w:val="20"/>
        </w:rPr>
        <w:t xml:space="preserve">M5Rules minimises prediction error (MSE). LAI at harvest may have too much year-to-year noise to improve the mean squared error in a continuous regression setting.</w:t>
      </w:r>
    </w:p>
    <w:p>
      <w:pPr>
        <w:pStyle w:val="ListParagraph"/>
        <w:numPr>
          <w:ilvl w:val="0"/>
          <w:numId w:val="2"/>
        </w:numPr>
        <w:spacing w:after="80"/>
      </w:pPr>
      <w:r>
        <w:rPr>
          <w:rFonts w:ascii="Arial" w:cs="Arial" w:eastAsia="Arial" w:hAnsi="Arial"/>
          <w:sz w:val="20"/>
          <w:szCs w:val="20"/>
        </w:rPr>
        <w:t xml:space="preserve">CarenR asks whether the distribution SHAPE changes. Even when LAI does not perfectly predict which class a year falls in, the group of years with low LAI has a statistically different distribution shape (higher mean, different spread) from the group with high LAI. This subtler signal is what CarenR is designed to find.</w:t>
      </w:r>
    </w:p>
    <w:p>
      <w:pPr>
        <w:spacing w:after="120"/>
      </w:pPr>
      <w:r>
        <w:rPr>
          <w:rFonts w:ascii="Arial" w:cs="Arial" w:eastAsia="Arial" w:hAnsi="Arial"/>
          <w:b w:val="false"/>
          <w:bCs w:val="false"/>
          <w:color w:val="000000"/>
          <w:sz w:val="20"/>
          <w:szCs w:val="20"/>
        </w:rPr>
        <w:t xml:space="preserve">This means CarenR's rules are describing real agronomic patterns that the other methods cannot capture — not because the patterns are weak, but because they are distributional, not point-predictive.</w:t>
      </w:r>
    </w:p>
    <w:p>
      <w:pPr>
        <w:pStyle w:val="Heading2"/>
        <w:pBdr>
          <w:bottom w:val="single" w:color="2E5FA3" w:sz="4" w:space="1"/>
        </w:pBdr>
        <w:spacing w:after="80" w:before="280"/>
      </w:pPr>
      <w:r>
        <w:rPr>
          <w:rFonts w:ascii="Arial" w:cs="Arial" w:eastAsia="Arial" w:hAnsi="Arial"/>
          <w:b/>
          <w:bCs/>
          <w:color w:val="2E5FA3"/>
          <w:sz w:val="26"/>
          <w:szCs w:val="26"/>
        </w:rPr>
        <w:t xml:space="preserve">5.3  Why RDD is harder to model than RVV</w:t>
      </w:r>
    </w:p>
    <w:p>
      <w:pPr>
        <w:pStyle w:val="ListParagraph"/>
        <w:numPr>
          <w:ilvl w:val="0"/>
          <w:numId w:val="2"/>
        </w:numPr>
        <w:spacing w:after="80"/>
      </w:pPr>
      <w:r>
        <w:rPr>
          <w:rFonts w:ascii="Arial" w:cs="Arial" w:eastAsia="Arial" w:hAnsi="Arial"/>
          <w:sz w:val="20"/>
          <w:szCs w:val="20"/>
        </w:rPr>
        <w:t xml:space="preserve">RVV has a very strong, consistent split driven by LAI — a relatively stable vine property. CarenR finds 22 rules; RIPPER and M5Rules both capture some signal.</w:t>
      </w:r>
    </w:p>
    <w:p>
      <w:pPr>
        <w:pStyle w:val="ListParagraph"/>
        <w:numPr>
          <w:ilvl w:val="0"/>
          <w:numId w:val="2"/>
        </w:numPr>
        <w:spacing w:after="80"/>
      </w:pPr>
      <w:r>
        <w:rPr>
          <w:rFonts w:ascii="Arial" w:cs="Arial" w:eastAsia="Arial" w:hAnsi="Arial"/>
          <w:sz w:val="20"/>
          <w:szCs w:val="20"/>
        </w:rPr>
        <w:t xml:space="preserve">RDD production is more volatile — the flowering stage conditions (wet, cold) drive Low production, but High production years show no clear consistent pattern. All three methods struggle: RIPPER defaults most years to Low; M5Rules has CV R² = −0.08; CarenR finds 5 rules all pointing to Low.</w:t>
      </w:r>
    </w:p>
    <w:p>
      <w:pPr>
        <w:pStyle w:val="ListParagraph"/>
        <w:numPr>
          <w:ilvl w:val="0"/>
          <w:numId w:val="2"/>
        </w:numPr>
        <w:spacing w:after="80"/>
      </w:pPr>
      <w:r>
        <w:rPr>
          <w:rFonts w:ascii="Arial" w:cs="Arial" w:eastAsia="Arial" w:hAnsi="Arial"/>
          <w:sz w:val="20"/>
          <w:szCs w:val="20"/>
        </w:rPr>
        <w:t xml:space="preserve">This asymmetry is itself a finding: good harvests in Douro may depend on the absence of bad conditions rather than the presence of good ones — which is harder for any rule-based method to express.</w:t>
      </w:r>
    </w:p>
    <w:p>
      <w:r>
        <w:br w:type="page"/>
      </w:r>
    </w:p>
    <w:p>
      <w:pPr>
        <w:pStyle w:val="Heading1"/>
        <w:spacing w:after="120" w:before="360"/>
      </w:pPr>
      <w:r>
        <w:rPr>
          <w:rFonts w:ascii="Arial" w:cs="Arial" w:eastAsia="Arial" w:hAnsi="Arial"/>
          <w:b/>
          <w:bCs/>
          <w:color w:val="1F3864"/>
          <w:sz w:val="36"/>
          <w:szCs w:val="36"/>
        </w:rPr>
        <w:t xml:space="preserve">6. Summary and Next Steps</w:t>
      </w:r>
    </w:p>
    <w:p>
      <w:pPr>
        <w:pStyle w:val="Heading2"/>
        <w:pBdr>
          <w:bottom w:val="single" w:color="2E5FA3" w:sz="4" w:space="1"/>
        </w:pBdr>
        <w:spacing w:after="80" w:before="280"/>
      </w:pPr>
      <w:r>
        <w:rPr>
          <w:rFonts w:ascii="Arial" w:cs="Arial" w:eastAsia="Arial" w:hAnsi="Arial"/>
          <w:b/>
          <w:bCs/>
          <w:color w:val="2E5FA3"/>
          <w:sz w:val="26"/>
          <w:szCs w:val="26"/>
        </w:rPr>
        <w:t xml:space="preserve">6.1  What we can conclude</w:t>
      </w:r>
    </w:p>
    <w:p>
      <w:pPr>
        <w:spacing w:after="120"/>
      </w:pPr>
      <w:r>
        <w:rPr>
          <w:rFonts w:ascii="Arial" w:cs="Arial" w:eastAsia="Arial" w:hAnsi="Arial"/>
          <w:b w:val="false"/>
          <w:bCs w:val="false"/>
          <w:color w:val="000000"/>
          <w:sz w:val="20"/>
          <w:szCs w:val="20"/>
        </w:rPr>
        <w:t xml:space="preserve">Three consistent findings emerge across all methods and both regions:</w:t>
      </w:r>
    </w:p>
    <w:p>
      <w:pPr>
        <w:pStyle w:val="ListParagraph"/>
        <w:numPr>
          <w:ilvl w:val="0"/>
          <w:numId w:val="2"/>
        </w:numPr>
        <w:spacing w:after="80"/>
      </w:pPr>
      <w:r>
        <w:rPr>
          <w:rFonts w:ascii="Arial" w:cs="Arial" w:eastAsia="Arial" w:hAnsi="Arial"/>
          <w:sz w:val="20"/>
          <w:szCs w:val="20"/>
        </w:rPr>
        <w:t xml:space="preserve">LAI at harvest is the dominant signal for Vinho Verde production, uniquely identified by CarenR and statistically robust (KS test). Low vine leafiness at harvest → High production; High leafiness → Low production.</w:t>
      </w:r>
    </w:p>
    <w:p>
      <w:pPr>
        <w:pStyle w:val="ListParagraph"/>
        <w:numPr>
          <w:ilvl w:val="0"/>
          <w:numId w:val="2"/>
        </w:numPr>
        <w:spacing w:after="80"/>
      </w:pPr>
      <w:r>
        <w:rPr>
          <w:rFonts w:ascii="Arial" w:cs="Arial" w:eastAsia="Arial" w:hAnsi="Arial"/>
          <w:sz w:val="20"/>
          <w:szCs w:val="20"/>
        </w:rPr>
        <w:t xml:space="preserve">Previous-year summer temperature (tm_sm_y0_a20) is the most cross-method consistent feature for RVV — selected by CarenR, RIPPER, and M5Rules. It represents vine reserve-building from the prior season.</w:t>
      </w:r>
    </w:p>
    <w:p>
      <w:pPr>
        <w:pStyle w:val="ListParagraph"/>
        <w:numPr>
          <w:ilvl w:val="0"/>
          <w:numId w:val="2"/>
        </w:numPr>
        <w:spacing w:after="80"/>
      </w:pPr>
      <w:r>
        <w:rPr>
          <w:rFonts w:ascii="Arial" w:cs="Arial" w:eastAsia="Arial" w:hAnsi="Arial"/>
          <w:sz w:val="20"/>
          <w:szCs w:val="20"/>
        </w:rPr>
        <w:t xml:space="preserve">Flowering stage climate dominates RDD — cool, wet flowering reliably signals Low production. No method finds a reliable positive pattern for High production in Douro.</w:t>
      </w:r>
    </w:p>
    <w:p>
      <w:pPr>
        <w:pStyle w:val="ListParagraph"/>
        <w:numPr>
          <w:ilvl w:val="0"/>
          <w:numId w:val="2"/>
        </w:numPr>
        <w:spacing w:after="80"/>
      </w:pPr>
      <w:r>
        <w:rPr>
          <w:rFonts w:ascii="Arial" w:cs="Arial" w:eastAsia="Arial" w:hAnsi="Arial"/>
          <w:sz w:val="20"/>
          <w:szCs w:val="20"/>
        </w:rPr>
        <w:t xml:space="preserve">RIPPER and M5Rules do not generalise out of sample (CV accuracy / R² close to or below naive baseline). Their rules describe the data but cannot reliably predict new years.</w:t>
      </w:r>
    </w:p>
    <w:p>
      <w:pPr>
        <w:pStyle w:val="ListParagraph"/>
        <w:numPr>
          <w:ilvl w:val="0"/>
          <w:numId w:val="2"/>
        </w:numPr>
        <w:spacing w:after="80"/>
      </w:pPr>
      <w:r>
        <w:rPr>
          <w:rFonts w:ascii="Arial" w:cs="Arial" w:eastAsia="Arial" w:hAnsi="Arial"/>
          <w:sz w:val="20"/>
          <w:szCs w:val="20"/>
        </w:rPr>
        <w:t xml:space="preserve">CarenR's rules represent the most stable and agronomically meaningful patterns. They are not predictive in a point-estimate sense, but they describe genuine distributional structure in the data.</w:t>
      </w:r>
    </w:p>
    <w:p>
      <w:pPr>
        <w:pStyle w:val="Heading2"/>
        <w:pBdr>
          <w:bottom w:val="single" w:color="2E5FA3" w:sz="4" w:space="1"/>
        </w:pBdr>
        <w:spacing w:after="80" w:before="280"/>
      </w:pPr>
      <w:r>
        <w:rPr>
          <w:rFonts w:ascii="Arial" w:cs="Arial" w:eastAsia="Arial" w:hAnsi="Arial"/>
          <w:b/>
          <w:bCs/>
          <w:color w:val="2E5FA3"/>
          <w:sz w:val="26"/>
          <w:szCs w:val="26"/>
        </w:rPr>
        <w:t xml:space="preserve">6.2  Next steps — Walk-Forward Validation</w:t>
      </w:r>
    </w:p>
    <w:p>
      <w:pPr>
        <w:spacing w:after="120"/>
      </w:pPr>
      <w:r>
        <w:rPr>
          <w:rFonts w:ascii="Arial" w:cs="Arial" w:eastAsia="Arial" w:hAnsi="Arial"/>
          <w:b w:val="false"/>
          <w:bCs w:val="false"/>
          <w:color w:val="000000"/>
          <w:sz w:val="20"/>
          <w:szCs w:val="20"/>
        </w:rPr>
        <w:t xml:space="preserve">A walk-forward validation (expanding window: train on years 1..T−1, predict year T) will be run to compare all methods head-to-head as predictors. This will test whether CarenR's distributional rules — applied as "predict the subgroup mean" — outperform RIPPER's class means, M5Rules' linear forecasts, and the naive baseline.</w:t>
      </w:r>
    </w:p>
    <w:p>
      <w:pPr>
        <w:spacing w:after="120"/>
      </w:pPr>
      <w:r>
        <w:rPr>
          <w:rFonts w:ascii="Arial" w:cs="Arial" w:eastAsia="Arial" w:hAnsi="Arial"/>
          <w:b w:val="false"/>
          <w:bCs w:val="false"/>
          <w:color w:val="000000"/>
          <w:sz w:val="20"/>
          <w:szCs w:val="20"/>
        </w:rPr>
        <w:t xml:space="preserve">Three CarenR prediction strategies will be evaluated: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c>
          <w:tcPr>
            <w:tcW w:type="dxa" w:w="1000"/>
            <w:tcBorders>
              <w:top w:val="single" w:color="2E5FA3" w:sz="1"/>
              <w:left w:val="single" w:color="2E5FA3" w:sz="1"/>
              <w:bottom w:val="single" w:color="2E5FA3" w:sz="1"/>
              <w:right w:val="single" w:color="2E5FA3" w:sz="1"/>
            </w:tcBorders>
            <w:shd w:fill="2E5FA3"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Strategy</w:t>
            </w:r>
          </w:p>
        </w:tc>
        <w:tc>
          <w:tcPr>
            <w:tcW w:type="dxa" w:w="2000"/>
            <w:tcBorders>
              <w:top w:val="single" w:color="2E5FA3" w:sz="1"/>
              <w:left w:val="single" w:color="2E5FA3" w:sz="1"/>
              <w:bottom w:val="single" w:color="2E5FA3" w:sz="1"/>
              <w:right w:val="single" w:color="2E5FA3" w:sz="1"/>
            </w:tcBorders>
            <w:shd w:fill="2E5FA3"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Name</w:t>
            </w:r>
          </w:p>
        </w:tc>
        <w:tc>
          <w:tcPr>
            <w:tcW w:type="dxa" w:w="6360"/>
            <w:tcBorders>
              <w:top w:val="single" w:color="2E5FA3" w:sz="1"/>
              <w:left w:val="single" w:color="2E5FA3" w:sz="1"/>
              <w:bottom w:val="single" w:color="2E5FA3" w:sz="1"/>
              <w:right w:val="single" w:color="2E5FA3" w:sz="1"/>
            </w:tcBorders>
            <w:shd w:fill="2E5FA3"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A</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First matching rule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Use the most significant rule that fires. Simple, mimics RIPPER behaviour.</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B</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Average of all matching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Average the subgroup means of all rules that fire for a given year.</w:t>
            </w:r>
          </w:p>
        </w:tc>
      </w:tr>
      <w:tr>
        <w:tc>
          <w:tcPr>
            <w:tcW w:type="dxa" w:w="10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C</w:t>
            </w:r>
          </w:p>
        </w:tc>
        <w:tc>
          <w:tcPr>
            <w:tcW w:type="dxa" w:w="20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Support-weighted average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Weight each matching rule's prediction by how many training years matched it. Stronger rules (more coverage) carry more influence.  [Recommended]</w:t>
            </w:r>
          </w:p>
        </w:tc>
      </w:tr>
    </w:tbl>
    <w:p>
      <w:pPr>
        <w:spacing w:after="80" w:before="200"/>
      </w:pPr>
    </w:p>
    <w:p>
      <w:pPr>
        <w:spacing w:after="120"/>
      </w:pPr>
      <w:r>
        <w:rPr>
          <w:rFonts w:ascii="Arial" w:cs="Arial" w:eastAsia="Arial" w:hAnsi="Arial"/>
          <w:b w:val="false"/>
          <w:bCs w:val="false"/>
          <w:color w:val="000000"/>
          <w:sz w:val="20"/>
          <w:szCs w:val="20"/>
        </w:rPr>
        <w:t xml:space="preserve">The validation will report MAE, RMSE, and R² for each method, answering the core prediction milestone of the thesis.</w:t>
      </w:r>
    </w:p>
    <w:p>
      <w:pPr>
        <w:pBdr>
          <w:bottom w:val="single" w:color="DDDDDD" w:sz="2" w:space="1"/>
        </w:pBdr>
        <w:spacing w:after="80" w:before="80"/>
      </w:pPr>
    </w:p>
    <w:p>
      <w:pPr>
        <w:spacing w:after="0" w:before="160"/>
        <w:jc w:val="center"/>
      </w:pPr>
      <w:r>
        <w:rPr>
          <w:rFonts w:ascii="Arial" w:cs="Arial" w:eastAsia="Arial" w:hAnsi="Arial"/>
          <w:color w:val="888888"/>
          <w:sz w:val="18"/>
          <w:szCs w:val="18"/>
        </w:rPr>
        <w:t xml:space="preserve">Document generated from thesis analysis scripts  ·  Hugo Nogueira  ·  March 2026</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4"/>
      </w:pBdr>
      <w:jc w:val="right"/>
    </w:pPr>
    <w:r>
      <w:rPr>
        <w:rFonts w:ascii="Arial" w:cs="Arial" w:eastAsia="Arial" w:hAnsi="Arial"/>
        <w:color w:val="888888"/>
        <w:sz w:val="18"/>
        <w:szCs w:val="18"/>
      </w:rPr>
      <w:t xml:space="preserve">Rule Discovery Methods — Supervisor Summary | Hugo Nogueira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E5FA3"/>
      <w:sz w:val="26"/>
      <w:szCs w:val="26"/>
    </w:rPr>
  </w:style>
  <w:style w:type="paragraph" w:styleId="Heading3">
    <w:name w:val="Heading 3"/>
    <w:basedOn w:val="Normal"/>
    <w:next w:val="Normal"/>
    <w:qFormat/>
    <w:pPr>
      <w:spacing w:after="60" w:before="20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2026-03-20T17:18:45.024Z</dcterms:created>
  <dcterms:modified xsi:type="dcterms:W3CDTF">2026-03-20T17:18:45.024Z</dcterms:modified>
</cp:coreProperties>
</file>

<file path=docProps/custom.xml><?xml version="1.0" encoding="utf-8"?>
<Properties xmlns="http://schemas.openxmlformats.org/officeDocument/2006/custom-properties" xmlns:vt="http://schemas.openxmlformats.org/officeDocument/2006/docPropsVTypes"/>
</file>