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360"/>
      </w:pPr>
      <w:r>
        <w:rPr>
          <w:rFonts w:ascii="Times New Roman" w:cs="Times New Roman" w:eastAsia="Times New Roman" w:hAnsi="Times New Roman"/>
          <w:b/>
          <w:bCs/>
          <w:sz w:val="28"/>
          <w:szCs w:val="28"/>
        </w:rPr>
        <w:t xml:space="preserve">Abstract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This thesis evaluates the CarenR distributional subgroup discovery framework as a rule-based machine learning approach for two complementary tasks on real-world agricultural time series: interpretable pattern extraction (Goal 1) and walk-forward prediction (Goal 2). The application domain is annual wine production forecasting for two contrasting Portuguese wine regions, the Douro Demarcated Region (RDD, 89 years, 1934–2022) and the Vinho Verde Region (RVV, 80 years, 1942–2021). The two regions serve as a natural comparative experiment, same pipeline, same algorithms, different structural histories and climate regimes, to evaluate when and why the method succeeds or fails under different signal conditions.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A central methodological contribution is a two-decision decomposition framework that separates prediction error into trend quality (Decision 1: how well the training trend extrapolates to test years) and climate signal extraction (Decision 2: whether a rule-based model can predict detrended residuals better than the training median). The framework identifies which element of the pipeline is the bottleneck, a distinction aggregate metrics alone cannot reveal. The evaluation uses an expanding-window walk-forward protocol with 18 scenarios for RDD and 16 for RVV, with all preprocessing, detrending, feature discretisation, feature selection, performed within each training fold to prevent leakage. Seventeen CarenR variants are evaluated as a structured sensitivity analysis of feature selection strategies.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Goal 1 (rule extraction) is achieved. CarenR's KS-test-based subgroup induction discovers 48 statistically validated rules for the Douro and 20 for Vinho Verde. Feature frequency analysis shows that harvest-period soil water appears in 54% of Douro rules: the most consistently selected variable across all 48 rules: while LAI at harvest dominates the Vinho Verde rule set (present in all 20 rules). LOESS detrending validates that the selected features carry genuine within-era signal (correlations drop by ~8% after era-trend removal), confirming that CarenR extracts real structure rather than era-membership artefacts. A cross-algorithm comparison shows that RIPPER and M5Rules independently converge on the same variable families, validating the robustness of CarenR's feature selection across three different optimisation criteria.</w:t>
      </w:r>
    </w:p>
    <w:p>
      <w:pPr>
        <w:spacing w:after="80" w:before="80"/>
      </w:pPr>
      <w:r>
        <w:t xml:space="preserve"/>
      </w:r>
    </w:p>
    <w:p>
      <w:pPr>
        <w:spacing w:after="120" w:before="120" w:line="360"/>
        <w:jc w:val="both"/>
      </w:pPr>
      <w:r>
        <w:rPr>
          <w:rFonts w:ascii="Times New Roman" w:cs="Times New Roman" w:eastAsia="Times New Roman" w:hAnsi="Times New Roman"/>
          <w:sz w:val="24"/>
          <w:szCs w:val="24"/>
        </w:rPr>
        <w:t>Goal 2 (walk-forward prediction) is not achieved in aggregate. No rule-based model consistently outperforms the Naive_Median baseline across the full evaluation sequence. The best CarenR variant falls 3% behind the baseline in RDD (189 vs 184 mhl weighted MAE; Wilcoxon p = 0.468, not significant) and 22% behind in RVV (172 vs 140 mhl; rules actively harmful when they fire, p = 0.004). A post-hoc era-composition analysis: conducted after observing the results and therefore exploratory: suggests CarenR consistently outperforms the baseline in RDD when training data reaches ~29% post-1990 representation (5 of 5 consecutive scenarios, binomial p = 0.031), pointing to a conditional regime where rule-based prediction could succeed. The two-decision framework explains the failure: the demands of accurate trend modelling and sufficient residual signal for rule induction are in fundamental tension under a time-only detrending covariate.</w:t>
      </w:r>
    </w:p>
    <w:p>
      <w:pPr>
        <w:spacing w:after="80" w:before="80"/>
      </w:pPr>
      <w:r>
        <w:t xml:space="preserve"/>
      </w:r>
    </w:p>
    <w:p>
      <w:pPr>
        <w:spacing w:after="120" w:before="20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distributional subgroup discovery, CarenR, rule-based machine learning, walk-forward validation, time series evaluation, two-decision decomposition, feature selection, wine production forecasting, non-stationarity, era confound</w:t>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2026-06-05T09:07:02.845Z</dcterms:created>
  <dcterms:modified xsi:type="dcterms:W3CDTF">2026-06-05T09:07:02.845Z</dcterms:modified>
</cp:coreProperties>
</file>

<file path=docProps/custom.xml><?xml version="1.0" encoding="utf-8"?>
<Properties xmlns="http://schemas.openxmlformats.org/officeDocument/2006/custom-properties" xmlns:vt="http://schemas.openxmlformats.org/officeDocument/2006/docPropsVTypes"/>
</file>