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80" w:before="360"/>
      </w:pPr>
      <w:r>
        <w:rPr>
          <w:rFonts w:ascii="Times New Roman" w:cs="Times New Roman" w:eastAsia="Times New Roman" w:hAnsi="Times New Roman"/>
          <w:b/>
          <w:bCs/>
          <w:sz w:val="28"/>
          <w:szCs w:val="28"/>
        </w:rPr>
        <w:t>Appendix C: Complete Feature Reference</w:t>
      </w:r>
    </w:p>
    <w:p>
      <w:pPr>
        <w:spacing w:after="60" w:before="60"/>
      </w:pPr>
      <w:r>
        <w:t xml:space="preserve"/>
      </w:r>
    </w:p>
    <w:p>
      <w:pPr>
        <w:spacing w:after="120" w:before="120" w:line="340"/>
        <w:jc w:val="both"/>
      </w:pPr>
      <w:r>
        <w:rPr>
          <w:rFonts w:ascii="Times New Roman" w:cs="Times New Roman" w:eastAsia="Times New Roman" w:hAnsi="Times New Roman"/>
          <w:sz w:val="24"/>
          <w:szCs w:val="24"/>
        </w:rPr>
        <w:t xml:space="preserve">This appendix provides a complete reference for all 58 agroclimatic features used in the modelling datasets (dataPrep_cont_dataset_rdd.csv and dataPrep_cont_dataset_rvv.csv). Features are grouped by variable family. The naming convention is described in Section 3.2.1. For each feature, the full name, phenological anchor, year offset, window specification, unit, calculation type, and agronomic interpretation are provided.</w:t>
      </w:r>
    </w:p>
    <w:p>
      <w:pPr>
        <w:spacing w:after="60" w:before="60"/>
      </w:pPr>
      <w:r>
        <w:t xml:space="preserve"/>
      </w:r>
    </w:p>
    <w:p>
      <w:pPr>
        <w:spacing w:after="120" w:before="120" w:line="340"/>
        <w:jc w:val="both"/>
      </w:pPr>
      <w:r>
        <w:rPr>
          <w:rFonts w:ascii="Times New Roman" w:cs="Times New Roman" w:eastAsia="Times New Roman" w:hAnsi="Times New Roman"/>
          <w:sz w:val="24"/>
          <w:szCs w:val="24"/>
        </w:rPr>
        <w:t xml:space="preserve">Key notation: y1 = current harvest year; y0 = previous growing season. Positions: c = centred (±n/2 days around stage DOY), b = n days before stage DOY, a = n days after stage DOY. All aggregations are computed over the specified window relative to the phenological DOY for each individual year, using the daily meteorological records from dataPrep_meteo_*.csv.</w:t>
      </w:r>
    </w:p>
    <w:p>
      <w:pPr>
        <w:spacing w:after="60" w:before="60"/>
      </w:pPr>
      <w:r>
        <w:t xml:space="preserve"/>
      </w:r>
    </w:p>
    <w:p>
      <w:pPr>
        <w:pStyle w:val="Heading2"/>
        <w:spacing w:after="120" w:before="300"/>
      </w:pPr>
      <w:r>
        <w:rPr>
          <w:rFonts w:ascii="Times New Roman" w:cs="Times New Roman" w:eastAsia="Times New Roman" w:hAnsi="Times New Roman"/>
          <w:b/>
          <w:bCs/>
          <w:sz w:val="24"/>
          <w:szCs w:val="24"/>
        </w:rPr>
        <w:t xml:space="preserve">C.1 Temperature Features (13 features)</w:t>
      </w:r>
    </w:p>
    <w:p>
      <w:pPr>
        <w:spacing w:after="60" w:before="60"/>
      </w:pPr>
      <w: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600"/>
        <w:gridCol w:w="1200"/>
        <w:gridCol w:w="900"/>
        <w:gridCol w:w="500"/>
        <w:gridCol w:w="1000"/>
        <w:gridCol w:w="500"/>
        <w:gridCol w:w="600"/>
        <w:gridCol w:w="3700"/>
      </w:tblGrid>
      <w:tr>
        <w:trPr>
          <w:tblHeader/>
        </w:trPr>
        <w:tc>
          <w:tcPr>
            <w:tcW w:type="dxa" w:w="1600"/>
            <w:tcBorders>
              <w:top w:val="single" w:color="999999" w:sz="1"/>
              <w:left w:val="single" w:color="999999" w:sz="1"/>
              <w:bottom w:val="single" w:color="999999" w:sz="1"/>
              <w:right w:val="single" w:color="999999" w:sz="1"/>
            </w:tcBorders>
            <w:shd w:fill="D9E2F3" w:val="clear"/>
            <w:tcMar>
              <w:top w:type="dxa" w:w="60"/>
              <w:left w:type="dxa" w:w="100"/>
              <w:bottom w:type="dxa" w:w="60"/>
              <w:right w:type="dxa" w:w="100"/>
            </w:tcMar>
          </w:tcPr>
          <w:p>
            <w:r>
              <w:rPr>
                <w:rFonts w:ascii="Times New Roman" w:cs="Times New Roman" w:eastAsia="Times New Roman" w:hAnsi="Times New Roman"/>
                <w:b/>
                <w:bCs/>
                <w:sz w:val="18"/>
                <w:szCs w:val="18"/>
              </w:rPr>
              <w:t xml:space="preserve">Feature name</w:t>
            </w:r>
          </w:p>
        </w:tc>
        <w:tc>
          <w:tcPr>
            <w:tcW w:type="dxa" w:w="1200"/>
            <w:tcBorders>
              <w:top w:val="single" w:color="999999" w:sz="1"/>
              <w:left w:val="single" w:color="999999" w:sz="1"/>
              <w:bottom w:val="single" w:color="999999" w:sz="1"/>
              <w:right w:val="single" w:color="999999" w:sz="1"/>
            </w:tcBorders>
            <w:shd w:fill="D9E2F3" w:val="clear"/>
            <w:tcMar>
              <w:top w:type="dxa" w:w="60"/>
              <w:left w:type="dxa" w:w="100"/>
              <w:bottom w:type="dxa" w:w="60"/>
              <w:right w:type="dxa" w:w="100"/>
            </w:tcMar>
          </w:tcPr>
          <w:p>
            <w:r>
              <w:rPr>
                <w:rFonts w:ascii="Times New Roman" w:cs="Times New Roman" w:eastAsia="Times New Roman" w:hAnsi="Times New Roman"/>
                <w:b/>
                <w:bCs/>
                <w:sz w:val="18"/>
                <w:szCs w:val="18"/>
              </w:rPr>
              <w:t xml:space="preserve">Variable</w:t>
            </w:r>
          </w:p>
        </w:tc>
        <w:tc>
          <w:tcPr>
            <w:tcW w:type="dxa" w:w="900"/>
            <w:tcBorders>
              <w:top w:val="single" w:color="999999" w:sz="1"/>
              <w:left w:val="single" w:color="999999" w:sz="1"/>
              <w:bottom w:val="single" w:color="999999" w:sz="1"/>
              <w:right w:val="single" w:color="999999" w:sz="1"/>
            </w:tcBorders>
            <w:shd w:fill="D9E2F3" w:val="clear"/>
            <w:tcMar>
              <w:top w:type="dxa" w:w="60"/>
              <w:left w:type="dxa" w:w="100"/>
              <w:bottom w:type="dxa" w:w="60"/>
              <w:right w:type="dxa" w:w="100"/>
            </w:tcMar>
          </w:tcPr>
          <w:p>
            <w:r>
              <w:rPr>
                <w:rFonts w:ascii="Times New Roman" w:cs="Times New Roman" w:eastAsia="Times New Roman" w:hAnsi="Times New Roman"/>
                <w:b/>
                <w:bCs/>
                <w:sz w:val="18"/>
                <w:szCs w:val="18"/>
              </w:rPr>
              <w:t xml:space="preserve">Stage</w:t>
            </w:r>
          </w:p>
        </w:tc>
        <w:tc>
          <w:tcPr>
            <w:tcW w:type="dxa" w:w="500"/>
            <w:tcBorders>
              <w:top w:val="single" w:color="999999" w:sz="1"/>
              <w:left w:val="single" w:color="999999" w:sz="1"/>
              <w:bottom w:val="single" w:color="999999" w:sz="1"/>
              <w:right w:val="single" w:color="999999" w:sz="1"/>
            </w:tcBorders>
            <w:shd w:fill="D9E2F3" w:val="clear"/>
            <w:tcMar>
              <w:top w:type="dxa" w:w="60"/>
              <w:left w:type="dxa" w:w="100"/>
              <w:bottom w:type="dxa" w:w="60"/>
              <w:right w:type="dxa" w:w="100"/>
            </w:tcMar>
          </w:tcPr>
          <w:p>
            <w:r>
              <w:rPr>
                <w:rFonts w:ascii="Times New Roman" w:cs="Times New Roman" w:eastAsia="Times New Roman" w:hAnsi="Times New Roman"/>
                <w:b/>
                <w:bCs/>
                <w:sz w:val="18"/>
                <w:szCs w:val="18"/>
              </w:rPr>
              <w:t xml:space="preserve">Year</w:t>
            </w:r>
          </w:p>
        </w:tc>
        <w:tc>
          <w:tcPr>
            <w:tcW w:type="dxa" w:w="1000"/>
            <w:tcBorders>
              <w:top w:val="single" w:color="999999" w:sz="1"/>
              <w:left w:val="single" w:color="999999" w:sz="1"/>
              <w:bottom w:val="single" w:color="999999" w:sz="1"/>
              <w:right w:val="single" w:color="999999" w:sz="1"/>
            </w:tcBorders>
            <w:shd w:fill="D9E2F3" w:val="clear"/>
            <w:tcMar>
              <w:top w:type="dxa" w:w="60"/>
              <w:left w:type="dxa" w:w="100"/>
              <w:bottom w:type="dxa" w:w="60"/>
              <w:right w:type="dxa" w:w="100"/>
            </w:tcMar>
          </w:tcPr>
          <w:p>
            <w:r>
              <w:rPr>
                <w:rFonts w:ascii="Times New Roman" w:cs="Times New Roman" w:eastAsia="Times New Roman" w:hAnsi="Times New Roman"/>
                <w:b/>
                <w:bCs/>
                <w:sz w:val="18"/>
                <w:szCs w:val="18"/>
              </w:rPr>
              <w:t xml:space="preserve">Window</w:t>
            </w:r>
          </w:p>
        </w:tc>
        <w:tc>
          <w:tcPr>
            <w:tcW w:type="dxa" w:w="500"/>
            <w:tcBorders>
              <w:top w:val="single" w:color="999999" w:sz="1"/>
              <w:left w:val="single" w:color="999999" w:sz="1"/>
              <w:bottom w:val="single" w:color="999999" w:sz="1"/>
              <w:right w:val="single" w:color="999999" w:sz="1"/>
            </w:tcBorders>
            <w:shd w:fill="D9E2F3" w:val="clear"/>
            <w:tcMar>
              <w:top w:type="dxa" w:w="60"/>
              <w:left w:type="dxa" w:w="100"/>
              <w:bottom w:type="dxa" w:w="60"/>
              <w:right w:type="dxa" w:w="100"/>
            </w:tcMar>
          </w:tcPr>
          <w:p>
            <w:r>
              <w:rPr>
                <w:rFonts w:ascii="Times New Roman" w:cs="Times New Roman" w:eastAsia="Times New Roman" w:hAnsi="Times New Roman"/>
                <w:b/>
                <w:bCs/>
                <w:sz w:val="18"/>
                <w:szCs w:val="18"/>
              </w:rPr>
              <w:t xml:space="preserve">Unit</w:t>
            </w:r>
          </w:p>
        </w:tc>
        <w:tc>
          <w:tcPr>
            <w:tcW w:type="dxa" w:w="600"/>
            <w:tcBorders>
              <w:top w:val="single" w:color="999999" w:sz="1"/>
              <w:left w:val="single" w:color="999999" w:sz="1"/>
              <w:bottom w:val="single" w:color="999999" w:sz="1"/>
              <w:right w:val="single" w:color="999999" w:sz="1"/>
            </w:tcBorders>
            <w:shd w:fill="D9E2F3" w:val="clear"/>
            <w:tcMar>
              <w:top w:type="dxa" w:w="60"/>
              <w:left w:type="dxa" w:w="100"/>
              <w:bottom w:type="dxa" w:w="60"/>
              <w:right w:type="dxa" w:w="100"/>
            </w:tcMar>
          </w:tcPr>
          <w:p>
            <w:r>
              <w:rPr>
                <w:rFonts w:ascii="Times New Roman" w:cs="Times New Roman" w:eastAsia="Times New Roman" w:hAnsi="Times New Roman"/>
                <w:b/>
                <w:bCs/>
                <w:sz w:val="18"/>
                <w:szCs w:val="18"/>
              </w:rPr>
              <w:t xml:space="preserve">Calc</w:t>
            </w:r>
          </w:p>
        </w:tc>
        <w:tc>
          <w:tcPr>
            <w:tcW w:type="dxa" w:w="3700"/>
            <w:tcBorders>
              <w:top w:val="single" w:color="999999" w:sz="1"/>
              <w:left w:val="single" w:color="999999" w:sz="1"/>
              <w:bottom w:val="single" w:color="999999" w:sz="1"/>
              <w:right w:val="single" w:color="999999" w:sz="1"/>
            </w:tcBorders>
            <w:shd w:fill="D9E2F3" w:val="clear"/>
            <w:tcMar>
              <w:top w:type="dxa" w:w="60"/>
              <w:left w:type="dxa" w:w="100"/>
              <w:bottom w:type="dxa" w:w="60"/>
              <w:right w:type="dxa" w:w="100"/>
            </w:tcMar>
          </w:tcPr>
          <w:p>
            <w:r>
              <w:rPr>
                <w:rFonts w:ascii="Times New Roman" w:cs="Times New Roman" w:eastAsia="Times New Roman" w:hAnsi="Times New Roman"/>
                <w:b/>
                <w:bCs/>
                <w:sz w:val="18"/>
                <w:szCs w:val="18"/>
              </w:rPr>
              <w:t xml:space="preserve">Agronomic interpretation</w:t>
            </w:r>
          </w:p>
        </w:tc>
      </w:tr>
      <w:tr>
        <w:tc>
          <w:tcPr>
            <w:tcW w:type="dxa" w:w="16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tm_fl_y1_c15</w:t>
            </w:r>
          </w:p>
        </w:tc>
        <w:tc>
          <w:tcPr>
            <w:tcW w:type="dxa" w:w="12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Mean temperature</w:t>
            </w:r>
          </w:p>
        </w:tc>
        <w:tc>
          <w:tcPr>
            <w:tcW w:type="dxa" w:w="9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Flowering</w:t>
            </w:r>
          </w:p>
        </w:tc>
        <w:tc>
          <w:tcPr>
            <w:tcW w:type="dxa" w:w="5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y1</w:t>
            </w:r>
          </w:p>
        </w:tc>
        <w:tc>
          <w:tcPr>
            <w:tcW w:type="dxa" w:w="10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centred ±15d</w:t>
            </w:r>
          </w:p>
        </w:tc>
        <w:tc>
          <w:tcPr>
            <w:tcW w:type="dxa" w:w="5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°C</w:t>
            </w:r>
          </w:p>
        </w:tc>
        <w:tc>
          <w:tcPr>
            <w:tcW w:type="dxa" w:w="6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Average</w:t>
            </w:r>
          </w:p>
        </w:tc>
        <w:tc>
          <w:tcPr>
            <w:tcW w:type="dxa" w:w="37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Thermal conditions during the critical flowering window, governs pollen viability, fruit set, and inflorescence development</w:t>
            </w:r>
          </w:p>
        </w:tc>
      </w:tr>
      <w:tr>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tm_fl_y1_b10</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Mean temperature</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Flowering</w:t>
            </w:r>
          </w:p>
        </w:tc>
        <w:tc>
          <w:tcPr>
            <w:tcW w:type="dxa" w:w="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y1</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10d before</w:t>
            </w:r>
          </w:p>
        </w:tc>
        <w:tc>
          <w:tcPr>
            <w:tcW w:type="dxa" w:w="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°C</w:t>
            </w:r>
          </w:p>
        </w:tc>
        <w:tc>
          <w:tcPr>
            <w:tcW w:type="dxa" w:w="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Average</w:t>
            </w:r>
          </w:p>
        </w:tc>
        <w:tc>
          <w:tcPr>
            <w:tcW w:type="dxa" w:w="37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Pre-flowering thermal conditions, vine heat accumulation entering the flowering phase</w:t>
            </w:r>
          </w:p>
        </w:tc>
      </w:tr>
      <w:tr>
        <w:tc>
          <w:tcPr>
            <w:tcW w:type="dxa" w:w="16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tm_fl_y1_a10</w:t>
            </w:r>
          </w:p>
        </w:tc>
        <w:tc>
          <w:tcPr>
            <w:tcW w:type="dxa" w:w="12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Mean temperature</w:t>
            </w:r>
          </w:p>
        </w:tc>
        <w:tc>
          <w:tcPr>
            <w:tcW w:type="dxa" w:w="9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Flowering</w:t>
            </w:r>
          </w:p>
        </w:tc>
        <w:tc>
          <w:tcPr>
            <w:tcW w:type="dxa" w:w="5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y1</w:t>
            </w:r>
          </w:p>
        </w:tc>
        <w:tc>
          <w:tcPr>
            <w:tcW w:type="dxa" w:w="10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10d after</w:t>
            </w:r>
          </w:p>
        </w:tc>
        <w:tc>
          <w:tcPr>
            <w:tcW w:type="dxa" w:w="5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°C</w:t>
            </w:r>
          </w:p>
        </w:tc>
        <w:tc>
          <w:tcPr>
            <w:tcW w:type="dxa" w:w="6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Average</w:t>
            </w:r>
          </w:p>
        </w:tc>
        <w:tc>
          <w:tcPr>
            <w:tcW w:type="dxa" w:w="37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Post-flowering temperature, governs initial berry cell division and early fruit development</w:t>
            </w:r>
          </w:p>
        </w:tc>
      </w:tr>
      <w:tr>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tm_bb_y0_a15</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Mean temperature</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Bud Break</w:t>
            </w:r>
          </w:p>
        </w:tc>
        <w:tc>
          <w:tcPr>
            <w:tcW w:type="dxa" w:w="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y0</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15d after prev. yr</w:t>
            </w:r>
          </w:p>
        </w:tc>
        <w:tc>
          <w:tcPr>
            <w:tcW w:type="dxa" w:w="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°C</w:t>
            </w:r>
          </w:p>
        </w:tc>
        <w:tc>
          <w:tcPr>
            <w:tcW w:type="dxa" w:w="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Average</w:t>
            </w:r>
          </w:p>
        </w:tc>
        <w:tc>
          <w:tcPr>
            <w:tcW w:type="dxa" w:w="37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Previous-year early spring thermal conditions, influences inflorescence primordia initiation for current year</w:t>
            </w:r>
          </w:p>
        </w:tc>
      </w:tr>
      <w:tr>
        <w:tc>
          <w:tcPr>
            <w:tcW w:type="dxa" w:w="16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tm_bb_y0_a30</w:t>
            </w:r>
          </w:p>
        </w:tc>
        <w:tc>
          <w:tcPr>
            <w:tcW w:type="dxa" w:w="12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Mean temperature</w:t>
            </w:r>
          </w:p>
        </w:tc>
        <w:tc>
          <w:tcPr>
            <w:tcW w:type="dxa" w:w="9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Bud Break</w:t>
            </w:r>
          </w:p>
        </w:tc>
        <w:tc>
          <w:tcPr>
            <w:tcW w:type="dxa" w:w="5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y0</w:t>
            </w:r>
          </w:p>
        </w:tc>
        <w:tc>
          <w:tcPr>
            <w:tcW w:type="dxa" w:w="10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30d after prev. yr</w:t>
            </w:r>
          </w:p>
        </w:tc>
        <w:tc>
          <w:tcPr>
            <w:tcW w:type="dxa" w:w="5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°C</w:t>
            </w:r>
          </w:p>
        </w:tc>
        <w:tc>
          <w:tcPr>
            <w:tcW w:type="dxa" w:w="6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Average</w:t>
            </w:r>
          </w:p>
        </w:tc>
        <w:tc>
          <w:tcPr>
            <w:tcW w:type="dxa" w:w="37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Wider post-budburst window in previous year, vine carbohydrate allocation and early season vigour</w:t>
            </w:r>
          </w:p>
        </w:tc>
      </w:tr>
      <w:tr>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tm_sm_y1_c20</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Mean temperature</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Start Maturity</w:t>
            </w:r>
          </w:p>
        </w:tc>
        <w:tc>
          <w:tcPr>
            <w:tcW w:type="dxa" w:w="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y1</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centred ±20d</w:t>
            </w:r>
          </w:p>
        </w:tc>
        <w:tc>
          <w:tcPr>
            <w:tcW w:type="dxa" w:w="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°C</w:t>
            </w:r>
          </w:p>
        </w:tc>
        <w:tc>
          <w:tcPr>
            <w:tcW w:type="dxa" w:w="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Average</w:t>
            </w:r>
          </w:p>
        </w:tc>
        <w:tc>
          <w:tcPr>
            <w:tcW w:type="dxa" w:w="37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Temperature at veraison onset, governs timing of berry colour change and ripening acceleration</w:t>
            </w:r>
          </w:p>
        </w:tc>
      </w:tr>
      <w:tr>
        <w:tc>
          <w:tcPr>
            <w:tcW w:type="dxa" w:w="16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tm_sm_y0_a20</w:t>
            </w:r>
          </w:p>
        </w:tc>
        <w:tc>
          <w:tcPr>
            <w:tcW w:type="dxa" w:w="12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Mean temperature</w:t>
            </w:r>
          </w:p>
        </w:tc>
        <w:tc>
          <w:tcPr>
            <w:tcW w:type="dxa" w:w="9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Start Maturity</w:t>
            </w:r>
          </w:p>
        </w:tc>
        <w:tc>
          <w:tcPr>
            <w:tcW w:type="dxa" w:w="5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y0</w:t>
            </w:r>
          </w:p>
        </w:tc>
        <w:tc>
          <w:tcPr>
            <w:tcW w:type="dxa" w:w="10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20d after prev. yr</w:t>
            </w:r>
          </w:p>
        </w:tc>
        <w:tc>
          <w:tcPr>
            <w:tcW w:type="dxa" w:w="5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°C</w:t>
            </w:r>
          </w:p>
        </w:tc>
        <w:tc>
          <w:tcPr>
            <w:tcW w:type="dxa" w:w="6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Average</w:t>
            </w:r>
          </w:p>
        </w:tc>
        <w:tc>
          <w:tcPr>
            <w:tcW w:type="dxa" w:w="37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Previous-year post-veraison heat, vine thermal stress at end of prior season; affects reserve accumulation</w:t>
            </w:r>
          </w:p>
        </w:tc>
      </w:tr>
      <w:tr>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tm_sm_y0_b20</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Mean temperature</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Start Maturity</w:t>
            </w:r>
          </w:p>
        </w:tc>
        <w:tc>
          <w:tcPr>
            <w:tcW w:type="dxa" w:w="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y0</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20d before prev. yr</w:t>
            </w:r>
          </w:p>
        </w:tc>
        <w:tc>
          <w:tcPr>
            <w:tcW w:type="dxa" w:w="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°C</w:t>
            </w:r>
          </w:p>
        </w:tc>
        <w:tc>
          <w:tcPr>
            <w:tcW w:type="dxa" w:w="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Average</w:t>
            </w:r>
          </w:p>
        </w:tc>
        <w:tc>
          <w:tcPr>
            <w:tcW w:type="dxa" w:w="37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Previous-year pre-veraison temperature, mid-ripening thermal conditions in prior season</w:t>
            </w:r>
          </w:p>
        </w:tc>
      </w:tr>
      <w:tr>
        <w:tc>
          <w:tcPr>
            <w:tcW w:type="dxa" w:w="16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tm_hv_y1_c10</w:t>
            </w:r>
          </w:p>
        </w:tc>
        <w:tc>
          <w:tcPr>
            <w:tcW w:type="dxa" w:w="12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Mean temperature</w:t>
            </w:r>
          </w:p>
        </w:tc>
        <w:tc>
          <w:tcPr>
            <w:tcW w:type="dxa" w:w="9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Harvest</w:t>
            </w:r>
          </w:p>
        </w:tc>
        <w:tc>
          <w:tcPr>
            <w:tcW w:type="dxa" w:w="5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y1</w:t>
            </w:r>
          </w:p>
        </w:tc>
        <w:tc>
          <w:tcPr>
            <w:tcW w:type="dxa" w:w="10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centred ±10d</w:t>
            </w:r>
          </w:p>
        </w:tc>
        <w:tc>
          <w:tcPr>
            <w:tcW w:type="dxa" w:w="5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°C</w:t>
            </w:r>
          </w:p>
        </w:tc>
        <w:tc>
          <w:tcPr>
            <w:tcW w:type="dxa" w:w="6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Average</w:t>
            </w:r>
          </w:p>
        </w:tc>
        <w:tc>
          <w:tcPr>
            <w:tcW w:type="dxa" w:w="37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Temperature at harvest, final ripening conditions; warmer harvest accelerates sugar accumulation</w:t>
            </w:r>
          </w:p>
        </w:tc>
      </w:tr>
      <w:tr>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tm_hv_y1_b20</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Mean temperature</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Harvest</w:t>
            </w:r>
          </w:p>
        </w:tc>
        <w:tc>
          <w:tcPr>
            <w:tcW w:type="dxa" w:w="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y1</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20d before</w:t>
            </w:r>
          </w:p>
        </w:tc>
        <w:tc>
          <w:tcPr>
            <w:tcW w:type="dxa" w:w="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°C</w:t>
            </w:r>
          </w:p>
        </w:tc>
        <w:tc>
          <w:tcPr>
            <w:tcW w:type="dxa" w:w="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Average</w:t>
            </w:r>
          </w:p>
        </w:tc>
        <w:tc>
          <w:tcPr>
            <w:tcW w:type="dxa" w:w="37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Pre-harvest temperature, late-season thermal driver of final berry maturation</w:t>
            </w:r>
          </w:p>
        </w:tc>
      </w:tr>
      <w:tr>
        <w:tc>
          <w:tcPr>
            <w:tcW w:type="dxa" w:w="16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tm_fl_y0_b10</w:t>
            </w:r>
          </w:p>
        </w:tc>
        <w:tc>
          <w:tcPr>
            <w:tcW w:type="dxa" w:w="12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Mean temperature</w:t>
            </w:r>
          </w:p>
        </w:tc>
        <w:tc>
          <w:tcPr>
            <w:tcW w:type="dxa" w:w="9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Flowering</w:t>
            </w:r>
          </w:p>
        </w:tc>
        <w:tc>
          <w:tcPr>
            <w:tcW w:type="dxa" w:w="5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y0</w:t>
            </w:r>
          </w:p>
        </w:tc>
        <w:tc>
          <w:tcPr>
            <w:tcW w:type="dxa" w:w="10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10d before prev. yr</w:t>
            </w:r>
          </w:p>
        </w:tc>
        <w:tc>
          <w:tcPr>
            <w:tcW w:type="dxa" w:w="5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°C</w:t>
            </w:r>
          </w:p>
        </w:tc>
        <w:tc>
          <w:tcPr>
            <w:tcW w:type="dxa" w:w="6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Average</w:t>
            </w:r>
          </w:p>
        </w:tc>
        <w:tc>
          <w:tcPr>
            <w:tcW w:type="dxa" w:w="37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Previous-year pre-flowering temperature, key driver of inflorescence primordia differentiation</w:t>
            </w:r>
          </w:p>
        </w:tc>
      </w:tr>
      <w:tr>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tm_fl_y0_a10</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Mean temperature</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Flowering</w:t>
            </w:r>
          </w:p>
        </w:tc>
        <w:tc>
          <w:tcPr>
            <w:tcW w:type="dxa" w:w="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y0</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10d after prev. yr</w:t>
            </w:r>
          </w:p>
        </w:tc>
        <w:tc>
          <w:tcPr>
            <w:tcW w:type="dxa" w:w="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°C</w:t>
            </w:r>
          </w:p>
        </w:tc>
        <w:tc>
          <w:tcPr>
            <w:tcW w:type="dxa" w:w="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Average</w:t>
            </w:r>
          </w:p>
        </w:tc>
        <w:tc>
          <w:tcPr>
            <w:tcW w:type="dxa" w:w="37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Previous-year post-flowering temperature, affects fruit set and bunch architecture for current year</w:t>
            </w:r>
          </w:p>
        </w:tc>
      </w:tr>
      <w:tr>
        <w:tc>
          <w:tcPr>
            <w:tcW w:type="dxa" w:w="16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tn_hv_y0_a30</w:t>
            </w:r>
          </w:p>
        </w:tc>
        <w:tc>
          <w:tcPr>
            <w:tcW w:type="dxa" w:w="12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Min temperature</w:t>
            </w:r>
          </w:p>
        </w:tc>
        <w:tc>
          <w:tcPr>
            <w:tcW w:type="dxa" w:w="9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Harvest</w:t>
            </w:r>
          </w:p>
        </w:tc>
        <w:tc>
          <w:tcPr>
            <w:tcW w:type="dxa" w:w="5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y0</w:t>
            </w:r>
          </w:p>
        </w:tc>
        <w:tc>
          <w:tcPr>
            <w:tcW w:type="dxa" w:w="10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30d after prev. yr</w:t>
            </w:r>
          </w:p>
        </w:tc>
        <w:tc>
          <w:tcPr>
            <w:tcW w:type="dxa" w:w="5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°C</w:t>
            </w:r>
          </w:p>
        </w:tc>
        <w:tc>
          <w:tcPr>
            <w:tcW w:type="dxa" w:w="6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Average</w:t>
            </w:r>
          </w:p>
        </w:tc>
        <w:tc>
          <w:tcPr>
            <w:tcW w:type="dxa" w:w="37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Previous-year post-harvest night temperatures, warm nights maintain vine metabolic activity; affect carbohydrate reserve building</w:t>
            </w:r>
          </w:p>
        </w:tc>
      </w:tr>
    </w:tbl>
    <w:p>
      <w:pPr>
        <w:spacing w:after="200" w:before="80"/>
        <w:jc w:val="center"/>
      </w:pPr>
      <w:r>
        <w:rPr>
          <w:rFonts w:ascii="Times New Roman" w:cs="Times New Roman" w:eastAsia="Times New Roman" w:hAnsi="Times New Roman"/>
          <w:i/>
          <w:iCs/>
          <w:sz w:val="20"/>
          <w:szCs w:val="20"/>
        </w:rPr>
        <w:t xml:space="preserve">Table C.1. Mean and minimum temperature features (13 total).</w:t>
      </w:r>
    </w:p>
    <w:p>
      <w:pPr>
        <w:spacing w:after="60" w:before="60"/>
      </w:pPr>
      <w:r>
        <w:t xml:space="preserve"/>
      </w:r>
    </w:p>
    <w:p>
      <w:pPr>
        <w:pStyle w:val="Heading2"/>
        <w:spacing w:after="120" w:before="300"/>
      </w:pPr>
      <w:r>
        <w:rPr>
          <w:rFonts w:ascii="Times New Roman" w:cs="Times New Roman" w:eastAsia="Times New Roman" w:hAnsi="Times New Roman"/>
          <w:b/>
          <w:bCs/>
          <w:sz w:val="24"/>
          <w:szCs w:val="24"/>
        </w:rPr>
        <w:t xml:space="preserve">C.2 Cold and Frost Day Features (5 features)</w:t>
      </w:r>
    </w:p>
    <w:p>
      <w:pPr>
        <w:spacing w:after="60" w:before="60"/>
      </w:pPr>
      <w: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600"/>
        <w:gridCol w:w="1400"/>
        <w:gridCol w:w="900"/>
        <w:gridCol w:w="500"/>
        <w:gridCol w:w="1000"/>
        <w:gridCol w:w="500"/>
        <w:gridCol w:w="600"/>
        <w:gridCol w:w="3500"/>
      </w:tblGrid>
      <w:tr>
        <w:trPr>
          <w:tblHeader/>
        </w:trPr>
        <w:tc>
          <w:tcPr>
            <w:tcW w:type="dxa" w:w="1600"/>
            <w:tcBorders>
              <w:top w:val="single" w:color="999999" w:sz="1"/>
              <w:left w:val="single" w:color="999999" w:sz="1"/>
              <w:bottom w:val="single" w:color="999999" w:sz="1"/>
              <w:right w:val="single" w:color="999999" w:sz="1"/>
            </w:tcBorders>
            <w:shd w:fill="D9E2F3" w:val="clear"/>
            <w:tcMar>
              <w:top w:type="dxa" w:w="60"/>
              <w:left w:type="dxa" w:w="100"/>
              <w:bottom w:type="dxa" w:w="60"/>
              <w:right w:type="dxa" w:w="100"/>
            </w:tcMar>
          </w:tcPr>
          <w:p>
            <w:r>
              <w:rPr>
                <w:rFonts w:ascii="Times New Roman" w:cs="Times New Roman" w:eastAsia="Times New Roman" w:hAnsi="Times New Roman"/>
                <w:b/>
                <w:bCs/>
                <w:sz w:val="18"/>
                <w:szCs w:val="18"/>
              </w:rPr>
              <w:t xml:space="preserve">Feature name</w:t>
            </w:r>
          </w:p>
        </w:tc>
        <w:tc>
          <w:tcPr>
            <w:tcW w:type="dxa" w:w="1400"/>
            <w:tcBorders>
              <w:top w:val="single" w:color="999999" w:sz="1"/>
              <w:left w:val="single" w:color="999999" w:sz="1"/>
              <w:bottom w:val="single" w:color="999999" w:sz="1"/>
              <w:right w:val="single" w:color="999999" w:sz="1"/>
            </w:tcBorders>
            <w:shd w:fill="D9E2F3" w:val="clear"/>
            <w:tcMar>
              <w:top w:type="dxa" w:w="60"/>
              <w:left w:type="dxa" w:w="100"/>
              <w:bottom w:type="dxa" w:w="60"/>
              <w:right w:type="dxa" w:w="100"/>
            </w:tcMar>
          </w:tcPr>
          <w:p>
            <w:r>
              <w:rPr>
                <w:rFonts w:ascii="Times New Roman" w:cs="Times New Roman" w:eastAsia="Times New Roman" w:hAnsi="Times New Roman"/>
                <w:b/>
                <w:bCs/>
                <w:sz w:val="18"/>
                <w:szCs w:val="18"/>
              </w:rPr>
              <w:t xml:space="preserve">Variable</w:t>
            </w:r>
          </w:p>
        </w:tc>
        <w:tc>
          <w:tcPr>
            <w:tcW w:type="dxa" w:w="900"/>
            <w:tcBorders>
              <w:top w:val="single" w:color="999999" w:sz="1"/>
              <w:left w:val="single" w:color="999999" w:sz="1"/>
              <w:bottom w:val="single" w:color="999999" w:sz="1"/>
              <w:right w:val="single" w:color="999999" w:sz="1"/>
            </w:tcBorders>
            <w:shd w:fill="D9E2F3" w:val="clear"/>
            <w:tcMar>
              <w:top w:type="dxa" w:w="60"/>
              <w:left w:type="dxa" w:w="100"/>
              <w:bottom w:type="dxa" w:w="60"/>
              <w:right w:type="dxa" w:w="100"/>
            </w:tcMar>
          </w:tcPr>
          <w:p>
            <w:r>
              <w:rPr>
                <w:rFonts w:ascii="Times New Roman" w:cs="Times New Roman" w:eastAsia="Times New Roman" w:hAnsi="Times New Roman"/>
                <w:b/>
                <w:bCs/>
                <w:sz w:val="18"/>
                <w:szCs w:val="18"/>
              </w:rPr>
              <w:t xml:space="preserve">Stage</w:t>
            </w:r>
          </w:p>
        </w:tc>
        <w:tc>
          <w:tcPr>
            <w:tcW w:type="dxa" w:w="500"/>
            <w:tcBorders>
              <w:top w:val="single" w:color="999999" w:sz="1"/>
              <w:left w:val="single" w:color="999999" w:sz="1"/>
              <w:bottom w:val="single" w:color="999999" w:sz="1"/>
              <w:right w:val="single" w:color="999999" w:sz="1"/>
            </w:tcBorders>
            <w:shd w:fill="D9E2F3" w:val="clear"/>
            <w:tcMar>
              <w:top w:type="dxa" w:w="60"/>
              <w:left w:type="dxa" w:w="100"/>
              <w:bottom w:type="dxa" w:w="60"/>
              <w:right w:type="dxa" w:w="100"/>
            </w:tcMar>
          </w:tcPr>
          <w:p>
            <w:r>
              <w:rPr>
                <w:rFonts w:ascii="Times New Roman" w:cs="Times New Roman" w:eastAsia="Times New Roman" w:hAnsi="Times New Roman"/>
                <w:b/>
                <w:bCs/>
                <w:sz w:val="18"/>
                <w:szCs w:val="18"/>
              </w:rPr>
              <w:t xml:space="preserve">Year</w:t>
            </w:r>
          </w:p>
        </w:tc>
        <w:tc>
          <w:tcPr>
            <w:tcW w:type="dxa" w:w="1000"/>
            <w:tcBorders>
              <w:top w:val="single" w:color="999999" w:sz="1"/>
              <w:left w:val="single" w:color="999999" w:sz="1"/>
              <w:bottom w:val="single" w:color="999999" w:sz="1"/>
              <w:right w:val="single" w:color="999999" w:sz="1"/>
            </w:tcBorders>
            <w:shd w:fill="D9E2F3" w:val="clear"/>
            <w:tcMar>
              <w:top w:type="dxa" w:w="60"/>
              <w:left w:type="dxa" w:w="100"/>
              <w:bottom w:type="dxa" w:w="60"/>
              <w:right w:type="dxa" w:w="100"/>
            </w:tcMar>
          </w:tcPr>
          <w:p>
            <w:r>
              <w:rPr>
                <w:rFonts w:ascii="Times New Roman" w:cs="Times New Roman" w:eastAsia="Times New Roman" w:hAnsi="Times New Roman"/>
                <w:b/>
                <w:bCs/>
                <w:sz w:val="18"/>
                <w:szCs w:val="18"/>
              </w:rPr>
              <w:t xml:space="preserve">Window</w:t>
            </w:r>
          </w:p>
        </w:tc>
        <w:tc>
          <w:tcPr>
            <w:tcW w:type="dxa" w:w="500"/>
            <w:tcBorders>
              <w:top w:val="single" w:color="999999" w:sz="1"/>
              <w:left w:val="single" w:color="999999" w:sz="1"/>
              <w:bottom w:val="single" w:color="999999" w:sz="1"/>
              <w:right w:val="single" w:color="999999" w:sz="1"/>
            </w:tcBorders>
            <w:shd w:fill="D9E2F3" w:val="clear"/>
            <w:tcMar>
              <w:top w:type="dxa" w:w="60"/>
              <w:left w:type="dxa" w:w="100"/>
              <w:bottom w:type="dxa" w:w="60"/>
              <w:right w:type="dxa" w:w="100"/>
            </w:tcMar>
          </w:tcPr>
          <w:p>
            <w:r>
              <w:rPr>
                <w:rFonts w:ascii="Times New Roman" w:cs="Times New Roman" w:eastAsia="Times New Roman" w:hAnsi="Times New Roman"/>
                <w:b/>
                <w:bCs/>
                <w:sz w:val="18"/>
                <w:szCs w:val="18"/>
              </w:rPr>
              <w:t xml:space="preserve">Unit</w:t>
            </w:r>
          </w:p>
        </w:tc>
        <w:tc>
          <w:tcPr>
            <w:tcW w:type="dxa" w:w="600"/>
            <w:tcBorders>
              <w:top w:val="single" w:color="999999" w:sz="1"/>
              <w:left w:val="single" w:color="999999" w:sz="1"/>
              <w:bottom w:val="single" w:color="999999" w:sz="1"/>
              <w:right w:val="single" w:color="999999" w:sz="1"/>
            </w:tcBorders>
            <w:shd w:fill="D9E2F3" w:val="clear"/>
            <w:tcMar>
              <w:top w:type="dxa" w:w="60"/>
              <w:left w:type="dxa" w:w="100"/>
              <w:bottom w:type="dxa" w:w="60"/>
              <w:right w:type="dxa" w:w="100"/>
            </w:tcMar>
          </w:tcPr>
          <w:p>
            <w:r>
              <w:rPr>
                <w:rFonts w:ascii="Times New Roman" w:cs="Times New Roman" w:eastAsia="Times New Roman" w:hAnsi="Times New Roman"/>
                <w:b/>
                <w:bCs/>
                <w:sz w:val="18"/>
                <w:szCs w:val="18"/>
              </w:rPr>
              <w:t xml:space="preserve">Calc</w:t>
            </w:r>
          </w:p>
        </w:tc>
        <w:tc>
          <w:tcPr>
            <w:tcW w:type="dxa" w:w="3500"/>
            <w:tcBorders>
              <w:top w:val="single" w:color="999999" w:sz="1"/>
              <w:left w:val="single" w:color="999999" w:sz="1"/>
              <w:bottom w:val="single" w:color="999999" w:sz="1"/>
              <w:right w:val="single" w:color="999999" w:sz="1"/>
            </w:tcBorders>
            <w:shd w:fill="D9E2F3" w:val="clear"/>
            <w:tcMar>
              <w:top w:type="dxa" w:w="60"/>
              <w:left w:type="dxa" w:w="100"/>
              <w:bottom w:type="dxa" w:w="60"/>
              <w:right w:type="dxa" w:w="100"/>
            </w:tcMar>
          </w:tcPr>
          <w:p>
            <w:r>
              <w:rPr>
                <w:rFonts w:ascii="Times New Roman" w:cs="Times New Roman" w:eastAsia="Times New Roman" w:hAnsi="Times New Roman"/>
                <w:b/>
                <w:bCs/>
                <w:sz w:val="18"/>
                <w:szCs w:val="18"/>
              </w:rPr>
              <w:t xml:space="preserve">Agronomic interpretation</w:t>
            </w:r>
          </w:p>
        </w:tc>
      </w:tr>
      <w:tr>
        <w:tc>
          <w:tcPr>
            <w:tcW w:type="dxa" w:w="16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tm.days.less.15_fl_y1_c15</w:t>
            </w:r>
          </w:p>
        </w:tc>
        <w:tc>
          <w:tcPr>
            <w:tcW w:type="dxa" w:w="14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Cold days (Tmed&lt;15°C)</w:t>
            </w:r>
          </w:p>
        </w:tc>
        <w:tc>
          <w:tcPr>
            <w:tcW w:type="dxa" w:w="9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Flowering</w:t>
            </w:r>
          </w:p>
        </w:tc>
        <w:tc>
          <w:tcPr>
            <w:tcW w:type="dxa" w:w="5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y1</w:t>
            </w:r>
          </w:p>
        </w:tc>
        <w:tc>
          <w:tcPr>
            <w:tcW w:type="dxa" w:w="10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centred ±15d</w:t>
            </w:r>
          </w:p>
        </w:tc>
        <w:tc>
          <w:tcPr>
            <w:tcW w:type="dxa" w:w="5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days</w:t>
            </w:r>
          </w:p>
        </w:tc>
        <w:tc>
          <w:tcPr>
            <w:tcW w:type="dxa" w:w="6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Count</w:t>
            </w:r>
          </w:p>
        </w:tc>
        <w:tc>
          <w:tcPr>
            <w:tcW w:type="dxa" w:w="35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Number of cold days during flowering, impairs pollen viability and fertilisation; directly reduces berry set</w:t>
            </w:r>
          </w:p>
        </w:tc>
      </w:tr>
      <w:tr>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tm.days.less.15_fl_y1_b15</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Cold days (Tmed&lt;15°C)</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Flowering</w:t>
            </w:r>
          </w:p>
        </w:tc>
        <w:tc>
          <w:tcPr>
            <w:tcW w:type="dxa" w:w="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y1</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15d before</w:t>
            </w:r>
          </w:p>
        </w:tc>
        <w:tc>
          <w:tcPr>
            <w:tcW w:type="dxa" w:w="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days</w:t>
            </w:r>
          </w:p>
        </w:tc>
        <w:tc>
          <w:tcPr>
            <w:tcW w:type="dxa" w:w="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Count</w:t>
            </w:r>
          </w:p>
        </w:tc>
        <w:tc>
          <w:tcPr>
            <w:tcW w:type="dxa" w:w="3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Pre-flowering cold days, cool conditions entering the flowering phase</w:t>
            </w:r>
          </w:p>
        </w:tc>
      </w:tr>
      <w:tr>
        <w:tc>
          <w:tcPr>
            <w:tcW w:type="dxa" w:w="16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days_minTemp.less.0_bb_y1_c20</w:t>
            </w:r>
          </w:p>
        </w:tc>
        <w:tc>
          <w:tcPr>
            <w:tcW w:type="dxa" w:w="14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Frost days (Tmin&lt;0°C)</w:t>
            </w:r>
          </w:p>
        </w:tc>
        <w:tc>
          <w:tcPr>
            <w:tcW w:type="dxa" w:w="9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Bud Break</w:t>
            </w:r>
          </w:p>
        </w:tc>
        <w:tc>
          <w:tcPr>
            <w:tcW w:type="dxa" w:w="5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y1</w:t>
            </w:r>
          </w:p>
        </w:tc>
        <w:tc>
          <w:tcPr>
            <w:tcW w:type="dxa" w:w="10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centred ±20d</w:t>
            </w:r>
          </w:p>
        </w:tc>
        <w:tc>
          <w:tcPr>
            <w:tcW w:type="dxa" w:w="5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days</w:t>
            </w:r>
          </w:p>
        </w:tc>
        <w:tc>
          <w:tcPr>
            <w:tcW w:type="dxa" w:w="6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Count</w:t>
            </w:r>
          </w:p>
        </w:tc>
        <w:tc>
          <w:tcPr>
            <w:tcW w:type="dxa" w:w="35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Frost days at budburst, potential spring frost damage to emerging shoots; severe frosts can destroy entire crop</w:t>
            </w:r>
          </w:p>
        </w:tc>
      </w:tr>
      <w:tr>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days.minTemp.less.0_bb_y1_a30</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Frost days (Tmin&lt;0°C)</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Bud Break</w:t>
            </w:r>
          </w:p>
        </w:tc>
        <w:tc>
          <w:tcPr>
            <w:tcW w:type="dxa" w:w="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y1</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30d after</w:t>
            </w:r>
          </w:p>
        </w:tc>
        <w:tc>
          <w:tcPr>
            <w:tcW w:type="dxa" w:w="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days</w:t>
            </w:r>
          </w:p>
        </w:tc>
        <w:tc>
          <w:tcPr>
            <w:tcW w:type="dxa" w:w="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Count</w:t>
            </w:r>
          </w:p>
        </w:tc>
        <w:tc>
          <w:tcPr>
            <w:tcW w:type="dxa" w:w="3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Post-budburst frost risk window, young shoots most vulnerable</w:t>
            </w:r>
          </w:p>
        </w:tc>
      </w:tr>
      <w:tr>
        <w:tc>
          <w:tcPr>
            <w:tcW w:type="dxa" w:w="16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days.minTemp.less.0_fl_y1_a10</w:t>
            </w:r>
          </w:p>
        </w:tc>
        <w:tc>
          <w:tcPr>
            <w:tcW w:type="dxa" w:w="14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Frost days (Tmin&lt;0°C)</w:t>
            </w:r>
          </w:p>
        </w:tc>
        <w:tc>
          <w:tcPr>
            <w:tcW w:type="dxa" w:w="9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Flowering</w:t>
            </w:r>
          </w:p>
        </w:tc>
        <w:tc>
          <w:tcPr>
            <w:tcW w:type="dxa" w:w="5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y1</w:t>
            </w:r>
          </w:p>
        </w:tc>
        <w:tc>
          <w:tcPr>
            <w:tcW w:type="dxa" w:w="10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10d after</w:t>
            </w:r>
          </w:p>
        </w:tc>
        <w:tc>
          <w:tcPr>
            <w:tcW w:type="dxa" w:w="5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days</w:t>
            </w:r>
          </w:p>
        </w:tc>
        <w:tc>
          <w:tcPr>
            <w:tcW w:type="dxa" w:w="6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Count</w:t>
            </w:r>
          </w:p>
        </w:tc>
        <w:tc>
          <w:tcPr>
            <w:tcW w:type="dxa" w:w="35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Late frost at flowering, unusual but damaging frost events during fruit set</w:t>
            </w:r>
          </w:p>
        </w:tc>
      </w:tr>
    </w:tbl>
    <w:p>
      <w:pPr>
        <w:spacing w:after="200" w:before="80"/>
        <w:jc w:val="center"/>
      </w:pPr>
      <w:r>
        <w:rPr>
          <w:rFonts w:ascii="Times New Roman" w:cs="Times New Roman" w:eastAsia="Times New Roman" w:hAnsi="Times New Roman"/>
          <w:i/>
          <w:iCs/>
          <w:sz w:val="20"/>
          <w:szCs w:val="20"/>
        </w:rPr>
        <w:t xml:space="preserve">Table C.2. Cold day (Tmed &lt; 15°C) and frost day (Tmin &lt; 0°C) features.</w:t>
      </w:r>
    </w:p>
    <w:p>
      <w:pPr>
        <w:spacing w:after="60" w:before="60"/>
      </w:pPr>
      <w:r>
        <w:t xml:space="preserve"/>
      </w:r>
    </w:p>
    <w:p>
      <w:pPr>
        <w:pStyle w:val="Heading2"/>
        <w:spacing w:after="120" w:before="300"/>
      </w:pPr>
      <w:r>
        <w:rPr>
          <w:rFonts w:ascii="Times New Roman" w:cs="Times New Roman" w:eastAsia="Times New Roman" w:hAnsi="Times New Roman"/>
          <w:b/>
          <w:bCs/>
          <w:sz w:val="24"/>
          <w:szCs w:val="24"/>
        </w:rPr>
        <w:t xml:space="preserve">C.3 Heat Stress Day Features (4 features)</w:t>
      </w:r>
    </w:p>
    <w:p>
      <w:pPr>
        <w:spacing w:after="60" w:before="60"/>
      </w:pPr>
      <w: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900"/>
        <w:gridCol w:w="500"/>
        <w:gridCol w:w="1000"/>
        <w:gridCol w:w="500"/>
        <w:gridCol w:w="600"/>
        <w:gridCol w:w="3300"/>
      </w:tblGrid>
      <w:tr>
        <w:trPr>
          <w:tblHeader/>
        </w:trPr>
        <w:tc>
          <w:tcPr>
            <w:tcW w:type="dxa" w:w="1800"/>
            <w:tcBorders>
              <w:top w:val="single" w:color="999999" w:sz="1"/>
              <w:left w:val="single" w:color="999999" w:sz="1"/>
              <w:bottom w:val="single" w:color="999999" w:sz="1"/>
              <w:right w:val="single" w:color="999999" w:sz="1"/>
            </w:tcBorders>
            <w:shd w:fill="D9E2F3" w:val="clear"/>
            <w:tcMar>
              <w:top w:type="dxa" w:w="60"/>
              <w:left w:type="dxa" w:w="100"/>
              <w:bottom w:type="dxa" w:w="60"/>
              <w:right w:type="dxa" w:w="100"/>
            </w:tcMar>
          </w:tcPr>
          <w:p>
            <w:r>
              <w:rPr>
                <w:rFonts w:ascii="Times New Roman" w:cs="Times New Roman" w:eastAsia="Times New Roman" w:hAnsi="Times New Roman"/>
                <w:b/>
                <w:bCs/>
                <w:sz w:val="18"/>
                <w:szCs w:val="18"/>
              </w:rPr>
              <w:t xml:space="preserve">Feature name</w:t>
            </w:r>
          </w:p>
        </w:tc>
        <w:tc>
          <w:tcPr>
            <w:tcW w:type="dxa" w:w="1400"/>
            <w:tcBorders>
              <w:top w:val="single" w:color="999999" w:sz="1"/>
              <w:left w:val="single" w:color="999999" w:sz="1"/>
              <w:bottom w:val="single" w:color="999999" w:sz="1"/>
              <w:right w:val="single" w:color="999999" w:sz="1"/>
            </w:tcBorders>
            <w:shd w:fill="D9E2F3" w:val="clear"/>
            <w:tcMar>
              <w:top w:type="dxa" w:w="60"/>
              <w:left w:type="dxa" w:w="100"/>
              <w:bottom w:type="dxa" w:w="60"/>
              <w:right w:type="dxa" w:w="100"/>
            </w:tcMar>
          </w:tcPr>
          <w:p>
            <w:r>
              <w:rPr>
                <w:rFonts w:ascii="Times New Roman" w:cs="Times New Roman" w:eastAsia="Times New Roman" w:hAnsi="Times New Roman"/>
                <w:b/>
                <w:bCs/>
                <w:sz w:val="18"/>
                <w:szCs w:val="18"/>
              </w:rPr>
              <w:t xml:space="preserve">Variable</w:t>
            </w:r>
          </w:p>
        </w:tc>
        <w:tc>
          <w:tcPr>
            <w:tcW w:type="dxa" w:w="900"/>
            <w:tcBorders>
              <w:top w:val="single" w:color="999999" w:sz="1"/>
              <w:left w:val="single" w:color="999999" w:sz="1"/>
              <w:bottom w:val="single" w:color="999999" w:sz="1"/>
              <w:right w:val="single" w:color="999999" w:sz="1"/>
            </w:tcBorders>
            <w:shd w:fill="D9E2F3" w:val="clear"/>
            <w:tcMar>
              <w:top w:type="dxa" w:w="60"/>
              <w:left w:type="dxa" w:w="100"/>
              <w:bottom w:type="dxa" w:w="60"/>
              <w:right w:type="dxa" w:w="100"/>
            </w:tcMar>
          </w:tcPr>
          <w:p>
            <w:r>
              <w:rPr>
                <w:rFonts w:ascii="Times New Roman" w:cs="Times New Roman" w:eastAsia="Times New Roman" w:hAnsi="Times New Roman"/>
                <w:b/>
                <w:bCs/>
                <w:sz w:val="18"/>
                <w:szCs w:val="18"/>
              </w:rPr>
              <w:t xml:space="preserve">Stage</w:t>
            </w:r>
          </w:p>
        </w:tc>
        <w:tc>
          <w:tcPr>
            <w:tcW w:type="dxa" w:w="500"/>
            <w:tcBorders>
              <w:top w:val="single" w:color="999999" w:sz="1"/>
              <w:left w:val="single" w:color="999999" w:sz="1"/>
              <w:bottom w:val="single" w:color="999999" w:sz="1"/>
              <w:right w:val="single" w:color="999999" w:sz="1"/>
            </w:tcBorders>
            <w:shd w:fill="D9E2F3" w:val="clear"/>
            <w:tcMar>
              <w:top w:type="dxa" w:w="60"/>
              <w:left w:type="dxa" w:w="100"/>
              <w:bottom w:type="dxa" w:w="60"/>
              <w:right w:type="dxa" w:w="100"/>
            </w:tcMar>
          </w:tcPr>
          <w:p>
            <w:r>
              <w:rPr>
                <w:rFonts w:ascii="Times New Roman" w:cs="Times New Roman" w:eastAsia="Times New Roman" w:hAnsi="Times New Roman"/>
                <w:b/>
                <w:bCs/>
                <w:sz w:val="18"/>
                <w:szCs w:val="18"/>
              </w:rPr>
              <w:t xml:space="preserve">Year</w:t>
            </w:r>
          </w:p>
        </w:tc>
        <w:tc>
          <w:tcPr>
            <w:tcW w:type="dxa" w:w="1000"/>
            <w:tcBorders>
              <w:top w:val="single" w:color="999999" w:sz="1"/>
              <w:left w:val="single" w:color="999999" w:sz="1"/>
              <w:bottom w:val="single" w:color="999999" w:sz="1"/>
              <w:right w:val="single" w:color="999999" w:sz="1"/>
            </w:tcBorders>
            <w:shd w:fill="D9E2F3" w:val="clear"/>
            <w:tcMar>
              <w:top w:type="dxa" w:w="60"/>
              <w:left w:type="dxa" w:w="100"/>
              <w:bottom w:type="dxa" w:w="60"/>
              <w:right w:type="dxa" w:w="100"/>
            </w:tcMar>
          </w:tcPr>
          <w:p>
            <w:r>
              <w:rPr>
                <w:rFonts w:ascii="Times New Roman" w:cs="Times New Roman" w:eastAsia="Times New Roman" w:hAnsi="Times New Roman"/>
                <w:b/>
                <w:bCs/>
                <w:sz w:val="18"/>
                <w:szCs w:val="18"/>
              </w:rPr>
              <w:t xml:space="preserve">Window</w:t>
            </w:r>
          </w:p>
        </w:tc>
        <w:tc>
          <w:tcPr>
            <w:tcW w:type="dxa" w:w="500"/>
            <w:tcBorders>
              <w:top w:val="single" w:color="999999" w:sz="1"/>
              <w:left w:val="single" w:color="999999" w:sz="1"/>
              <w:bottom w:val="single" w:color="999999" w:sz="1"/>
              <w:right w:val="single" w:color="999999" w:sz="1"/>
            </w:tcBorders>
            <w:shd w:fill="D9E2F3" w:val="clear"/>
            <w:tcMar>
              <w:top w:type="dxa" w:w="60"/>
              <w:left w:type="dxa" w:w="100"/>
              <w:bottom w:type="dxa" w:w="60"/>
              <w:right w:type="dxa" w:w="100"/>
            </w:tcMar>
          </w:tcPr>
          <w:p>
            <w:r>
              <w:rPr>
                <w:rFonts w:ascii="Times New Roman" w:cs="Times New Roman" w:eastAsia="Times New Roman" w:hAnsi="Times New Roman"/>
                <w:b/>
                <w:bCs/>
                <w:sz w:val="18"/>
                <w:szCs w:val="18"/>
              </w:rPr>
              <w:t xml:space="preserve">Unit</w:t>
            </w:r>
          </w:p>
        </w:tc>
        <w:tc>
          <w:tcPr>
            <w:tcW w:type="dxa" w:w="600"/>
            <w:tcBorders>
              <w:top w:val="single" w:color="999999" w:sz="1"/>
              <w:left w:val="single" w:color="999999" w:sz="1"/>
              <w:bottom w:val="single" w:color="999999" w:sz="1"/>
              <w:right w:val="single" w:color="999999" w:sz="1"/>
            </w:tcBorders>
            <w:shd w:fill="D9E2F3" w:val="clear"/>
            <w:tcMar>
              <w:top w:type="dxa" w:w="60"/>
              <w:left w:type="dxa" w:w="100"/>
              <w:bottom w:type="dxa" w:w="60"/>
              <w:right w:type="dxa" w:w="100"/>
            </w:tcMar>
          </w:tcPr>
          <w:p>
            <w:r>
              <w:rPr>
                <w:rFonts w:ascii="Times New Roman" w:cs="Times New Roman" w:eastAsia="Times New Roman" w:hAnsi="Times New Roman"/>
                <w:b/>
                <w:bCs/>
                <w:sz w:val="18"/>
                <w:szCs w:val="18"/>
              </w:rPr>
              <w:t xml:space="preserve">Calc</w:t>
            </w:r>
          </w:p>
        </w:tc>
        <w:tc>
          <w:tcPr>
            <w:tcW w:type="dxa" w:w="3300"/>
            <w:tcBorders>
              <w:top w:val="single" w:color="999999" w:sz="1"/>
              <w:left w:val="single" w:color="999999" w:sz="1"/>
              <w:bottom w:val="single" w:color="999999" w:sz="1"/>
              <w:right w:val="single" w:color="999999" w:sz="1"/>
            </w:tcBorders>
            <w:shd w:fill="D9E2F3" w:val="clear"/>
            <w:tcMar>
              <w:top w:type="dxa" w:w="60"/>
              <w:left w:type="dxa" w:w="100"/>
              <w:bottom w:type="dxa" w:w="60"/>
              <w:right w:type="dxa" w:w="100"/>
            </w:tcMar>
          </w:tcPr>
          <w:p>
            <w:r>
              <w:rPr>
                <w:rFonts w:ascii="Times New Roman" w:cs="Times New Roman" w:eastAsia="Times New Roman" w:hAnsi="Times New Roman"/>
                <w:b/>
                <w:bCs/>
                <w:sz w:val="18"/>
                <w:szCs w:val="18"/>
              </w:rPr>
              <w:t xml:space="preserve">Agronomic interpretation</w:t>
            </w:r>
          </w:p>
        </w:tc>
      </w:tr>
      <w:tr>
        <w:tc>
          <w:tcPr>
            <w:tcW w:type="dxa" w:w="18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days.maxTemp.above.35_fl_y1_a10</w:t>
            </w:r>
          </w:p>
        </w:tc>
        <w:tc>
          <w:tcPr>
            <w:tcW w:type="dxa" w:w="14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Heat days (Tmax&gt;35°C)</w:t>
            </w:r>
          </w:p>
        </w:tc>
        <w:tc>
          <w:tcPr>
            <w:tcW w:type="dxa" w:w="9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Flowering</w:t>
            </w:r>
          </w:p>
        </w:tc>
        <w:tc>
          <w:tcPr>
            <w:tcW w:type="dxa" w:w="5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y1</w:t>
            </w:r>
          </w:p>
        </w:tc>
        <w:tc>
          <w:tcPr>
            <w:tcW w:type="dxa" w:w="10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10d after</w:t>
            </w:r>
          </w:p>
        </w:tc>
        <w:tc>
          <w:tcPr>
            <w:tcW w:type="dxa" w:w="5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days</w:t>
            </w:r>
          </w:p>
        </w:tc>
        <w:tc>
          <w:tcPr>
            <w:tcW w:type="dxa" w:w="6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Count</w:t>
            </w:r>
          </w:p>
        </w:tc>
        <w:tc>
          <w:tcPr>
            <w:tcW w:type="dxa" w:w="33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Extreme heat at flowering, causes flower abortion, pollen tube failure, and reduces berry number</w:t>
            </w:r>
          </w:p>
        </w:tc>
      </w:tr>
      <w:tr>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days.maxTemp.above.35_fl_y1_a20</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Heat days (Tmax&gt;35°C)</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Flowering</w:t>
            </w:r>
          </w:p>
        </w:tc>
        <w:tc>
          <w:tcPr>
            <w:tcW w:type="dxa" w:w="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y1</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20d after</w:t>
            </w:r>
          </w:p>
        </w:tc>
        <w:tc>
          <w:tcPr>
            <w:tcW w:type="dxa" w:w="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days</w:t>
            </w:r>
          </w:p>
        </w:tc>
        <w:tc>
          <w:tcPr>
            <w:tcW w:type="dxa" w:w="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Count</w:t>
            </w:r>
          </w:p>
        </w:tc>
        <w:tc>
          <w:tcPr>
            <w:tcW w:type="dxa" w:w="33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Extended post-flowering heat exposure, sustained heat impact on early berry development</w:t>
            </w:r>
          </w:p>
        </w:tc>
      </w:tr>
      <w:tr>
        <w:tc>
          <w:tcPr>
            <w:tcW w:type="dxa" w:w="18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days.tempMax.above.35_sm_y1_b20</w:t>
            </w:r>
          </w:p>
        </w:tc>
        <w:tc>
          <w:tcPr>
            <w:tcW w:type="dxa" w:w="14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Heat days (Tmax&gt;35°C)</w:t>
            </w:r>
          </w:p>
        </w:tc>
        <w:tc>
          <w:tcPr>
            <w:tcW w:type="dxa" w:w="9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Start Maturity</w:t>
            </w:r>
          </w:p>
        </w:tc>
        <w:tc>
          <w:tcPr>
            <w:tcW w:type="dxa" w:w="5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y1</w:t>
            </w:r>
          </w:p>
        </w:tc>
        <w:tc>
          <w:tcPr>
            <w:tcW w:type="dxa" w:w="10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20d before</w:t>
            </w:r>
          </w:p>
        </w:tc>
        <w:tc>
          <w:tcPr>
            <w:tcW w:type="dxa" w:w="5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days</w:t>
            </w:r>
          </w:p>
        </w:tc>
        <w:tc>
          <w:tcPr>
            <w:tcW w:type="dxa" w:w="6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Count</w:t>
            </w:r>
          </w:p>
        </w:tc>
        <w:tc>
          <w:tcPr>
            <w:tcW w:type="dxa" w:w="33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Heat stress approaching veraison, accelerates sugar rise; can impair acid retention and berry integrity</w:t>
            </w:r>
          </w:p>
        </w:tc>
      </w:tr>
      <w:tr>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days.maxTemp.above.35_sm_y1_a20</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Heat days (Tmax&gt;35°C)</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Start Maturity</w:t>
            </w:r>
          </w:p>
        </w:tc>
        <w:tc>
          <w:tcPr>
            <w:tcW w:type="dxa" w:w="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y1</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20d after</w:t>
            </w:r>
          </w:p>
        </w:tc>
        <w:tc>
          <w:tcPr>
            <w:tcW w:type="dxa" w:w="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days</w:t>
            </w:r>
          </w:p>
        </w:tc>
        <w:tc>
          <w:tcPr>
            <w:tcW w:type="dxa" w:w="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Count</w:t>
            </w:r>
          </w:p>
        </w:tc>
        <w:tc>
          <w:tcPr>
            <w:tcW w:type="dxa" w:w="33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Post-veraison heat stress, berry thermal stress during the key ripening phase</w:t>
            </w:r>
          </w:p>
        </w:tc>
      </w:tr>
    </w:tbl>
    <w:p>
      <w:pPr>
        <w:spacing w:after="200" w:before="80"/>
        <w:jc w:val="center"/>
      </w:pPr>
      <w:r>
        <w:rPr>
          <w:rFonts w:ascii="Times New Roman" w:cs="Times New Roman" w:eastAsia="Times New Roman" w:hAnsi="Times New Roman"/>
          <w:i/>
          <w:iCs/>
          <w:sz w:val="20"/>
          <w:szCs w:val="20"/>
        </w:rPr>
        <w:t xml:space="preserve">Table C.3. Heat stress day features (Tmax &gt; 35°C).</w:t>
      </w:r>
    </w:p>
    <w:p>
      <w:pPr>
        <w:spacing w:after="60" w:before="60"/>
      </w:pPr>
      <w:r>
        <w:t xml:space="preserve"/>
      </w:r>
    </w:p>
    <w:p>
      <w:pPr>
        <w:pStyle w:val="Heading2"/>
        <w:spacing w:after="120" w:before="300"/>
      </w:pPr>
      <w:r>
        <w:rPr>
          <w:rFonts w:ascii="Times New Roman" w:cs="Times New Roman" w:eastAsia="Times New Roman" w:hAnsi="Times New Roman"/>
          <w:b/>
          <w:bCs/>
          <w:sz w:val="24"/>
          <w:szCs w:val="24"/>
        </w:rPr>
        <w:t xml:space="preserve">C.4 Rainfall Features (8 features)</w:t>
      </w:r>
    </w:p>
    <w:p>
      <w:pPr>
        <w:spacing w:after="60" w:before="60"/>
      </w:pPr>
      <w: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900"/>
        <w:gridCol w:w="500"/>
        <w:gridCol w:w="1000"/>
        <w:gridCol w:w="500"/>
        <w:gridCol w:w="600"/>
        <w:gridCol w:w="3500"/>
      </w:tblGrid>
      <w:tr>
        <w:trPr>
          <w:tblHeader/>
        </w:trPr>
        <w:tc>
          <w:tcPr>
            <w:tcW w:type="dxa" w:w="1800"/>
            <w:tcBorders>
              <w:top w:val="single" w:color="999999" w:sz="1"/>
              <w:left w:val="single" w:color="999999" w:sz="1"/>
              <w:bottom w:val="single" w:color="999999" w:sz="1"/>
              <w:right w:val="single" w:color="999999" w:sz="1"/>
            </w:tcBorders>
            <w:shd w:fill="D9E2F3" w:val="clear"/>
            <w:tcMar>
              <w:top w:type="dxa" w:w="60"/>
              <w:left w:type="dxa" w:w="100"/>
              <w:bottom w:type="dxa" w:w="60"/>
              <w:right w:type="dxa" w:w="100"/>
            </w:tcMar>
          </w:tcPr>
          <w:p>
            <w:r>
              <w:rPr>
                <w:rFonts w:ascii="Times New Roman" w:cs="Times New Roman" w:eastAsia="Times New Roman" w:hAnsi="Times New Roman"/>
                <w:b/>
                <w:bCs/>
                <w:sz w:val="18"/>
                <w:szCs w:val="18"/>
              </w:rPr>
              <w:t xml:space="preserve">Feature name</w:t>
            </w:r>
          </w:p>
        </w:tc>
        <w:tc>
          <w:tcPr>
            <w:tcW w:type="dxa" w:w="1200"/>
            <w:tcBorders>
              <w:top w:val="single" w:color="999999" w:sz="1"/>
              <w:left w:val="single" w:color="999999" w:sz="1"/>
              <w:bottom w:val="single" w:color="999999" w:sz="1"/>
              <w:right w:val="single" w:color="999999" w:sz="1"/>
            </w:tcBorders>
            <w:shd w:fill="D9E2F3" w:val="clear"/>
            <w:tcMar>
              <w:top w:type="dxa" w:w="60"/>
              <w:left w:type="dxa" w:w="100"/>
              <w:bottom w:type="dxa" w:w="60"/>
              <w:right w:type="dxa" w:w="100"/>
            </w:tcMar>
          </w:tcPr>
          <w:p>
            <w:r>
              <w:rPr>
                <w:rFonts w:ascii="Times New Roman" w:cs="Times New Roman" w:eastAsia="Times New Roman" w:hAnsi="Times New Roman"/>
                <w:b/>
                <w:bCs/>
                <w:sz w:val="18"/>
                <w:szCs w:val="18"/>
              </w:rPr>
              <w:t xml:space="preserve">Variable</w:t>
            </w:r>
          </w:p>
        </w:tc>
        <w:tc>
          <w:tcPr>
            <w:tcW w:type="dxa" w:w="900"/>
            <w:tcBorders>
              <w:top w:val="single" w:color="999999" w:sz="1"/>
              <w:left w:val="single" w:color="999999" w:sz="1"/>
              <w:bottom w:val="single" w:color="999999" w:sz="1"/>
              <w:right w:val="single" w:color="999999" w:sz="1"/>
            </w:tcBorders>
            <w:shd w:fill="D9E2F3" w:val="clear"/>
            <w:tcMar>
              <w:top w:type="dxa" w:w="60"/>
              <w:left w:type="dxa" w:w="100"/>
              <w:bottom w:type="dxa" w:w="60"/>
              <w:right w:type="dxa" w:w="100"/>
            </w:tcMar>
          </w:tcPr>
          <w:p>
            <w:r>
              <w:rPr>
                <w:rFonts w:ascii="Times New Roman" w:cs="Times New Roman" w:eastAsia="Times New Roman" w:hAnsi="Times New Roman"/>
                <w:b/>
                <w:bCs/>
                <w:sz w:val="18"/>
                <w:szCs w:val="18"/>
              </w:rPr>
              <w:t xml:space="preserve">Stage</w:t>
            </w:r>
          </w:p>
        </w:tc>
        <w:tc>
          <w:tcPr>
            <w:tcW w:type="dxa" w:w="500"/>
            <w:tcBorders>
              <w:top w:val="single" w:color="999999" w:sz="1"/>
              <w:left w:val="single" w:color="999999" w:sz="1"/>
              <w:bottom w:val="single" w:color="999999" w:sz="1"/>
              <w:right w:val="single" w:color="999999" w:sz="1"/>
            </w:tcBorders>
            <w:shd w:fill="D9E2F3" w:val="clear"/>
            <w:tcMar>
              <w:top w:type="dxa" w:w="60"/>
              <w:left w:type="dxa" w:w="100"/>
              <w:bottom w:type="dxa" w:w="60"/>
              <w:right w:type="dxa" w:w="100"/>
            </w:tcMar>
          </w:tcPr>
          <w:p>
            <w:r>
              <w:rPr>
                <w:rFonts w:ascii="Times New Roman" w:cs="Times New Roman" w:eastAsia="Times New Roman" w:hAnsi="Times New Roman"/>
                <w:b/>
                <w:bCs/>
                <w:sz w:val="18"/>
                <w:szCs w:val="18"/>
              </w:rPr>
              <w:t xml:space="preserve">Year</w:t>
            </w:r>
          </w:p>
        </w:tc>
        <w:tc>
          <w:tcPr>
            <w:tcW w:type="dxa" w:w="1000"/>
            <w:tcBorders>
              <w:top w:val="single" w:color="999999" w:sz="1"/>
              <w:left w:val="single" w:color="999999" w:sz="1"/>
              <w:bottom w:val="single" w:color="999999" w:sz="1"/>
              <w:right w:val="single" w:color="999999" w:sz="1"/>
            </w:tcBorders>
            <w:shd w:fill="D9E2F3" w:val="clear"/>
            <w:tcMar>
              <w:top w:type="dxa" w:w="60"/>
              <w:left w:type="dxa" w:w="100"/>
              <w:bottom w:type="dxa" w:w="60"/>
              <w:right w:type="dxa" w:w="100"/>
            </w:tcMar>
          </w:tcPr>
          <w:p>
            <w:r>
              <w:rPr>
                <w:rFonts w:ascii="Times New Roman" w:cs="Times New Roman" w:eastAsia="Times New Roman" w:hAnsi="Times New Roman"/>
                <w:b/>
                <w:bCs/>
                <w:sz w:val="18"/>
                <w:szCs w:val="18"/>
              </w:rPr>
              <w:t xml:space="preserve">Window</w:t>
            </w:r>
          </w:p>
        </w:tc>
        <w:tc>
          <w:tcPr>
            <w:tcW w:type="dxa" w:w="500"/>
            <w:tcBorders>
              <w:top w:val="single" w:color="999999" w:sz="1"/>
              <w:left w:val="single" w:color="999999" w:sz="1"/>
              <w:bottom w:val="single" w:color="999999" w:sz="1"/>
              <w:right w:val="single" w:color="999999" w:sz="1"/>
            </w:tcBorders>
            <w:shd w:fill="D9E2F3" w:val="clear"/>
            <w:tcMar>
              <w:top w:type="dxa" w:w="60"/>
              <w:left w:type="dxa" w:w="100"/>
              <w:bottom w:type="dxa" w:w="60"/>
              <w:right w:type="dxa" w:w="100"/>
            </w:tcMar>
          </w:tcPr>
          <w:p>
            <w:r>
              <w:rPr>
                <w:rFonts w:ascii="Times New Roman" w:cs="Times New Roman" w:eastAsia="Times New Roman" w:hAnsi="Times New Roman"/>
                <w:b/>
                <w:bCs/>
                <w:sz w:val="18"/>
                <w:szCs w:val="18"/>
              </w:rPr>
              <w:t xml:space="preserve">Unit</w:t>
            </w:r>
          </w:p>
        </w:tc>
        <w:tc>
          <w:tcPr>
            <w:tcW w:type="dxa" w:w="600"/>
            <w:tcBorders>
              <w:top w:val="single" w:color="999999" w:sz="1"/>
              <w:left w:val="single" w:color="999999" w:sz="1"/>
              <w:bottom w:val="single" w:color="999999" w:sz="1"/>
              <w:right w:val="single" w:color="999999" w:sz="1"/>
            </w:tcBorders>
            <w:shd w:fill="D9E2F3" w:val="clear"/>
            <w:tcMar>
              <w:top w:type="dxa" w:w="60"/>
              <w:left w:type="dxa" w:w="100"/>
              <w:bottom w:type="dxa" w:w="60"/>
              <w:right w:type="dxa" w:w="100"/>
            </w:tcMar>
          </w:tcPr>
          <w:p>
            <w:r>
              <w:rPr>
                <w:rFonts w:ascii="Times New Roman" w:cs="Times New Roman" w:eastAsia="Times New Roman" w:hAnsi="Times New Roman"/>
                <w:b/>
                <w:bCs/>
                <w:sz w:val="18"/>
                <w:szCs w:val="18"/>
              </w:rPr>
              <w:t xml:space="preserve">Calc</w:t>
            </w:r>
          </w:p>
        </w:tc>
        <w:tc>
          <w:tcPr>
            <w:tcW w:type="dxa" w:w="3500"/>
            <w:tcBorders>
              <w:top w:val="single" w:color="999999" w:sz="1"/>
              <w:left w:val="single" w:color="999999" w:sz="1"/>
              <w:bottom w:val="single" w:color="999999" w:sz="1"/>
              <w:right w:val="single" w:color="999999" w:sz="1"/>
            </w:tcBorders>
            <w:shd w:fill="D9E2F3" w:val="clear"/>
            <w:tcMar>
              <w:top w:type="dxa" w:w="60"/>
              <w:left w:type="dxa" w:w="100"/>
              <w:bottom w:type="dxa" w:w="60"/>
              <w:right w:type="dxa" w:w="100"/>
            </w:tcMar>
          </w:tcPr>
          <w:p>
            <w:r>
              <w:rPr>
                <w:rFonts w:ascii="Times New Roman" w:cs="Times New Roman" w:eastAsia="Times New Roman" w:hAnsi="Times New Roman"/>
                <w:b/>
                <w:bCs/>
                <w:sz w:val="18"/>
                <w:szCs w:val="18"/>
              </w:rPr>
              <w:t xml:space="preserve">Agronomic interpretation</w:t>
            </w:r>
          </w:p>
        </w:tc>
      </w:tr>
      <w:tr>
        <w:tc>
          <w:tcPr>
            <w:tcW w:type="dxa" w:w="18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rf_fl_y1_a10</w:t>
            </w:r>
          </w:p>
        </w:tc>
        <w:tc>
          <w:tcPr>
            <w:tcW w:type="dxa" w:w="12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Rainfall total</w:t>
            </w:r>
          </w:p>
        </w:tc>
        <w:tc>
          <w:tcPr>
            <w:tcW w:type="dxa" w:w="9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Flowering</w:t>
            </w:r>
          </w:p>
        </w:tc>
        <w:tc>
          <w:tcPr>
            <w:tcW w:type="dxa" w:w="5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y1</w:t>
            </w:r>
          </w:p>
        </w:tc>
        <w:tc>
          <w:tcPr>
            <w:tcW w:type="dxa" w:w="10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10d after</w:t>
            </w:r>
          </w:p>
        </w:tc>
        <w:tc>
          <w:tcPr>
            <w:tcW w:type="dxa" w:w="5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mm</w:t>
            </w:r>
          </w:p>
        </w:tc>
        <w:tc>
          <w:tcPr>
            <w:tcW w:type="dxa" w:w="6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Sum</w:t>
            </w:r>
          </w:p>
        </w:tc>
        <w:tc>
          <w:tcPr>
            <w:tcW w:type="dxa" w:w="35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Rainfall immediately post-flowering, disease risk (Botrytis, downy mildew); excess rain dilutes berry development</w:t>
            </w:r>
          </w:p>
        </w:tc>
      </w:tr>
      <w:tr>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rf_hv_y1_b10</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Rainfall total</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Harvest</w:t>
            </w:r>
          </w:p>
        </w:tc>
        <w:tc>
          <w:tcPr>
            <w:tcW w:type="dxa" w:w="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y1</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10d before</w:t>
            </w:r>
          </w:p>
        </w:tc>
        <w:tc>
          <w:tcPr>
            <w:tcW w:type="dxa" w:w="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mm</w:t>
            </w:r>
          </w:p>
        </w:tc>
        <w:tc>
          <w:tcPr>
            <w:tcW w:type="dxa" w:w="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Sum</w:t>
            </w:r>
          </w:p>
        </w:tc>
        <w:tc>
          <w:tcPr>
            <w:tcW w:type="dxa" w:w="3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Pre-harvest rainfall, late rain can cause berry splitting, dilution of sugars, and Botrytis infection</w:t>
            </w:r>
          </w:p>
        </w:tc>
      </w:tr>
      <w:tr>
        <w:tc>
          <w:tcPr>
            <w:tcW w:type="dxa" w:w="18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rf_hv_y0_a10</w:t>
            </w:r>
          </w:p>
        </w:tc>
        <w:tc>
          <w:tcPr>
            <w:tcW w:type="dxa" w:w="12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Rainfall total</w:t>
            </w:r>
          </w:p>
        </w:tc>
        <w:tc>
          <w:tcPr>
            <w:tcW w:type="dxa" w:w="9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Harvest</w:t>
            </w:r>
          </w:p>
        </w:tc>
        <w:tc>
          <w:tcPr>
            <w:tcW w:type="dxa" w:w="5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y0</w:t>
            </w:r>
          </w:p>
        </w:tc>
        <w:tc>
          <w:tcPr>
            <w:tcW w:type="dxa" w:w="10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10d after prev. yr</w:t>
            </w:r>
          </w:p>
        </w:tc>
        <w:tc>
          <w:tcPr>
            <w:tcW w:type="dxa" w:w="5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mm</w:t>
            </w:r>
          </w:p>
        </w:tc>
        <w:tc>
          <w:tcPr>
            <w:tcW w:type="dxa" w:w="6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Sum</w:t>
            </w:r>
          </w:p>
        </w:tc>
        <w:tc>
          <w:tcPr>
            <w:tcW w:type="dxa" w:w="35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Post-harvest rainfall in previous year, begins recharging soil water reserves for the following season</w:t>
            </w:r>
          </w:p>
        </w:tc>
      </w:tr>
      <w:tr>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days.rf.above.1mm_fl_y1_c15</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Wet days (Rain&gt;1mm)</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Flowering</w:t>
            </w:r>
          </w:p>
        </w:tc>
        <w:tc>
          <w:tcPr>
            <w:tcW w:type="dxa" w:w="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y1</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centred ±15d</w:t>
            </w:r>
          </w:p>
        </w:tc>
        <w:tc>
          <w:tcPr>
            <w:tcW w:type="dxa" w:w="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days</w:t>
            </w:r>
          </w:p>
        </w:tc>
        <w:tc>
          <w:tcPr>
            <w:tcW w:type="dxa" w:w="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Count</w:t>
            </w:r>
          </w:p>
        </w:tc>
        <w:tc>
          <w:tcPr>
            <w:tcW w:type="dxa" w:w="3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Frequency of rain days at flowering, high frequency promotes disease and physically interferes with pollination</w:t>
            </w:r>
          </w:p>
        </w:tc>
      </w:tr>
      <w:tr>
        <w:tc>
          <w:tcPr>
            <w:tcW w:type="dxa" w:w="18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days.rf.above.1mm_fl_y1_a20</w:t>
            </w:r>
          </w:p>
        </w:tc>
        <w:tc>
          <w:tcPr>
            <w:tcW w:type="dxa" w:w="12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Wet days (Rain&gt;1mm)</w:t>
            </w:r>
          </w:p>
        </w:tc>
        <w:tc>
          <w:tcPr>
            <w:tcW w:type="dxa" w:w="9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Flowering</w:t>
            </w:r>
          </w:p>
        </w:tc>
        <w:tc>
          <w:tcPr>
            <w:tcW w:type="dxa" w:w="5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y1</w:t>
            </w:r>
          </w:p>
        </w:tc>
        <w:tc>
          <w:tcPr>
            <w:tcW w:type="dxa" w:w="10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20d after</w:t>
            </w:r>
          </w:p>
        </w:tc>
        <w:tc>
          <w:tcPr>
            <w:tcW w:type="dxa" w:w="5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days</w:t>
            </w:r>
          </w:p>
        </w:tc>
        <w:tc>
          <w:tcPr>
            <w:tcW w:type="dxa" w:w="6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Count</w:t>
            </w:r>
          </w:p>
        </w:tc>
        <w:tc>
          <w:tcPr>
            <w:tcW w:type="dxa" w:w="35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Post-flowering rain event count, key disease pressure indicator in the Douro; DRY = above trend</w:t>
            </w:r>
          </w:p>
        </w:tc>
      </w:tr>
      <w:tr>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days.rf.above.1mm_sm_y1_b20</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Wet days (Rain&gt;1mm)</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Start Maturity</w:t>
            </w:r>
          </w:p>
        </w:tc>
        <w:tc>
          <w:tcPr>
            <w:tcW w:type="dxa" w:w="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y1</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20d before</w:t>
            </w:r>
          </w:p>
        </w:tc>
        <w:tc>
          <w:tcPr>
            <w:tcW w:type="dxa" w:w="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days</w:t>
            </w:r>
          </w:p>
        </w:tc>
        <w:tc>
          <w:tcPr>
            <w:tcW w:type="dxa" w:w="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Count</w:t>
            </w:r>
          </w:p>
        </w:tc>
        <w:tc>
          <w:tcPr>
            <w:tcW w:type="dxa" w:w="3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Rain days approaching veraison, moisture during mid-season ripening phase</w:t>
            </w:r>
          </w:p>
        </w:tc>
      </w:tr>
      <w:tr>
        <w:tc>
          <w:tcPr>
            <w:tcW w:type="dxa" w:w="18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days.rf.above.1mm_sm_y1_a20</w:t>
            </w:r>
          </w:p>
        </w:tc>
        <w:tc>
          <w:tcPr>
            <w:tcW w:type="dxa" w:w="12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Wet days (Rain&gt;1mm)</w:t>
            </w:r>
          </w:p>
        </w:tc>
        <w:tc>
          <w:tcPr>
            <w:tcW w:type="dxa" w:w="9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Start Maturity</w:t>
            </w:r>
          </w:p>
        </w:tc>
        <w:tc>
          <w:tcPr>
            <w:tcW w:type="dxa" w:w="5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y1</w:t>
            </w:r>
          </w:p>
        </w:tc>
        <w:tc>
          <w:tcPr>
            <w:tcW w:type="dxa" w:w="10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20d after</w:t>
            </w:r>
          </w:p>
        </w:tc>
        <w:tc>
          <w:tcPr>
            <w:tcW w:type="dxa" w:w="5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days</w:t>
            </w:r>
          </w:p>
        </w:tc>
        <w:tc>
          <w:tcPr>
            <w:tcW w:type="dxa" w:w="6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Count</w:t>
            </w:r>
          </w:p>
        </w:tc>
        <w:tc>
          <w:tcPr>
            <w:tcW w:type="dxa" w:w="35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Post-veraison rain days, disease and dilution risk during the ripening phase; 2nd most frequent RDD rule feature</w:t>
            </w:r>
          </w:p>
        </w:tc>
      </w:tr>
      <w:tr>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days.rf.above.1mm_hv_y1_c10</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Wet days (Rain&gt;1mm)</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Harvest</w:t>
            </w:r>
          </w:p>
        </w:tc>
        <w:tc>
          <w:tcPr>
            <w:tcW w:type="dxa" w:w="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y1</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centred ±10d</w:t>
            </w:r>
          </w:p>
        </w:tc>
        <w:tc>
          <w:tcPr>
            <w:tcW w:type="dxa" w:w="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days</w:t>
            </w:r>
          </w:p>
        </w:tc>
        <w:tc>
          <w:tcPr>
            <w:tcW w:type="dxa" w:w="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Count</w:t>
            </w:r>
          </w:p>
        </w:tc>
        <w:tc>
          <w:tcPr>
            <w:tcW w:type="dxa" w:w="3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Rain days at harvest, wet harvest conditions cause berry splitting, Botrytis; reduce quality and quantity</w:t>
            </w:r>
          </w:p>
        </w:tc>
      </w:tr>
    </w:tbl>
    <w:p>
      <w:pPr>
        <w:spacing w:after="200" w:before="80"/>
        <w:jc w:val="center"/>
      </w:pPr>
      <w:r>
        <w:rPr>
          <w:rFonts w:ascii="Times New Roman" w:cs="Times New Roman" w:eastAsia="Times New Roman" w:hAnsi="Times New Roman"/>
          <w:i/>
          <w:iCs/>
          <w:sz w:val="20"/>
          <w:szCs w:val="20"/>
        </w:rPr>
        <w:t xml:space="preserve">Table C.4. Rainfall total and wet day count features.</w:t>
      </w:r>
    </w:p>
    <w:p>
      <w:pPr>
        <w:spacing w:after="60" w:before="60"/>
      </w:pPr>
      <w:r>
        <w:t xml:space="preserve"/>
      </w:r>
    </w:p>
    <w:p>
      <w:pPr>
        <w:pStyle w:val="Heading2"/>
        <w:spacing w:after="120" w:before="300"/>
      </w:pPr>
      <w:r>
        <w:rPr>
          <w:rFonts w:ascii="Times New Roman" w:cs="Times New Roman" w:eastAsia="Times New Roman" w:hAnsi="Times New Roman"/>
          <w:b/>
          <w:bCs/>
          <w:sz w:val="24"/>
          <w:szCs w:val="24"/>
        </w:rPr>
        <w:t xml:space="preserve">C.5 Leaf Area Index (LAI) Features (10 features)</w:t>
      </w:r>
    </w:p>
    <w:p>
      <w:pPr>
        <w:spacing w:after="60" w:before="60"/>
      </w:pPr>
      <w: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600"/>
        <w:gridCol w:w="1200"/>
        <w:gridCol w:w="900"/>
        <w:gridCol w:w="500"/>
        <w:gridCol w:w="1000"/>
        <w:gridCol w:w="500"/>
        <w:gridCol w:w="600"/>
        <w:gridCol w:w="3700"/>
      </w:tblGrid>
      <w:tr>
        <w:trPr>
          <w:tblHeader/>
        </w:trPr>
        <w:tc>
          <w:tcPr>
            <w:tcW w:type="dxa" w:w="1600"/>
            <w:tcBorders>
              <w:top w:val="single" w:color="999999" w:sz="1"/>
              <w:left w:val="single" w:color="999999" w:sz="1"/>
              <w:bottom w:val="single" w:color="999999" w:sz="1"/>
              <w:right w:val="single" w:color="999999" w:sz="1"/>
            </w:tcBorders>
            <w:shd w:fill="D9E2F3" w:val="clear"/>
            <w:tcMar>
              <w:top w:type="dxa" w:w="60"/>
              <w:left w:type="dxa" w:w="100"/>
              <w:bottom w:type="dxa" w:w="60"/>
              <w:right w:type="dxa" w:w="100"/>
            </w:tcMar>
          </w:tcPr>
          <w:p>
            <w:r>
              <w:rPr>
                <w:rFonts w:ascii="Times New Roman" w:cs="Times New Roman" w:eastAsia="Times New Roman" w:hAnsi="Times New Roman"/>
                <w:b/>
                <w:bCs/>
                <w:sz w:val="18"/>
                <w:szCs w:val="18"/>
              </w:rPr>
              <w:t xml:space="preserve">Feature name</w:t>
            </w:r>
          </w:p>
        </w:tc>
        <w:tc>
          <w:tcPr>
            <w:tcW w:type="dxa" w:w="1200"/>
            <w:tcBorders>
              <w:top w:val="single" w:color="999999" w:sz="1"/>
              <w:left w:val="single" w:color="999999" w:sz="1"/>
              <w:bottom w:val="single" w:color="999999" w:sz="1"/>
              <w:right w:val="single" w:color="999999" w:sz="1"/>
            </w:tcBorders>
            <w:shd w:fill="D9E2F3" w:val="clear"/>
            <w:tcMar>
              <w:top w:type="dxa" w:w="60"/>
              <w:left w:type="dxa" w:w="100"/>
              <w:bottom w:type="dxa" w:w="60"/>
              <w:right w:type="dxa" w:w="100"/>
            </w:tcMar>
          </w:tcPr>
          <w:p>
            <w:r>
              <w:rPr>
                <w:rFonts w:ascii="Times New Roman" w:cs="Times New Roman" w:eastAsia="Times New Roman" w:hAnsi="Times New Roman"/>
                <w:b/>
                <w:bCs/>
                <w:sz w:val="18"/>
                <w:szCs w:val="18"/>
              </w:rPr>
              <w:t xml:space="preserve">Variable</w:t>
            </w:r>
          </w:p>
        </w:tc>
        <w:tc>
          <w:tcPr>
            <w:tcW w:type="dxa" w:w="900"/>
            <w:tcBorders>
              <w:top w:val="single" w:color="999999" w:sz="1"/>
              <w:left w:val="single" w:color="999999" w:sz="1"/>
              <w:bottom w:val="single" w:color="999999" w:sz="1"/>
              <w:right w:val="single" w:color="999999" w:sz="1"/>
            </w:tcBorders>
            <w:shd w:fill="D9E2F3" w:val="clear"/>
            <w:tcMar>
              <w:top w:type="dxa" w:w="60"/>
              <w:left w:type="dxa" w:w="100"/>
              <w:bottom w:type="dxa" w:w="60"/>
              <w:right w:type="dxa" w:w="100"/>
            </w:tcMar>
          </w:tcPr>
          <w:p>
            <w:r>
              <w:rPr>
                <w:rFonts w:ascii="Times New Roman" w:cs="Times New Roman" w:eastAsia="Times New Roman" w:hAnsi="Times New Roman"/>
                <w:b/>
                <w:bCs/>
                <w:sz w:val="18"/>
                <w:szCs w:val="18"/>
              </w:rPr>
              <w:t xml:space="preserve">Stage</w:t>
            </w:r>
          </w:p>
        </w:tc>
        <w:tc>
          <w:tcPr>
            <w:tcW w:type="dxa" w:w="500"/>
            <w:tcBorders>
              <w:top w:val="single" w:color="999999" w:sz="1"/>
              <w:left w:val="single" w:color="999999" w:sz="1"/>
              <w:bottom w:val="single" w:color="999999" w:sz="1"/>
              <w:right w:val="single" w:color="999999" w:sz="1"/>
            </w:tcBorders>
            <w:shd w:fill="D9E2F3" w:val="clear"/>
            <w:tcMar>
              <w:top w:type="dxa" w:w="60"/>
              <w:left w:type="dxa" w:w="100"/>
              <w:bottom w:type="dxa" w:w="60"/>
              <w:right w:type="dxa" w:w="100"/>
            </w:tcMar>
          </w:tcPr>
          <w:p>
            <w:r>
              <w:rPr>
                <w:rFonts w:ascii="Times New Roman" w:cs="Times New Roman" w:eastAsia="Times New Roman" w:hAnsi="Times New Roman"/>
                <w:b/>
                <w:bCs/>
                <w:sz w:val="18"/>
                <w:szCs w:val="18"/>
              </w:rPr>
              <w:t xml:space="preserve">Year</w:t>
            </w:r>
          </w:p>
        </w:tc>
        <w:tc>
          <w:tcPr>
            <w:tcW w:type="dxa" w:w="1000"/>
            <w:tcBorders>
              <w:top w:val="single" w:color="999999" w:sz="1"/>
              <w:left w:val="single" w:color="999999" w:sz="1"/>
              <w:bottom w:val="single" w:color="999999" w:sz="1"/>
              <w:right w:val="single" w:color="999999" w:sz="1"/>
            </w:tcBorders>
            <w:shd w:fill="D9E2F3" w:val="clear"/>
            <w:tcMar>
              <w:top w:type="dxa" w:w="60"/>
              <w:left w:type="dxa" w:w="100"/>
              <w:bottom w:type="dxa" w:w="60"/>
              <w:right w:type="dxa" w:w="100"/>
            </w:tcMar>
          </w:tcPr>
          <w:p>
            <w:r>
              <w:rPr>
                <w:rFonts w:ascii="Times New Roman" w:cs="Times New Roman" w:eastAsia="Times New Roman" w:hAnsi="Times New Roman"/>
                <w:b/>
                <w:bCs/>
                <w:sz w:val="18"/>
                <w:szCs w:val="18"/>
              </w:rPr>
              <w:t xml:space="preserve">Window</w:t>
            </w:r>
          </w:p>
        </w:tc>
        <w:tc>
          <w:tcPr>
            <w:tcW w:type="dxa" w:w="500"/>
            <w:tcBorders>
              <w:top w:val="single" w:color="999999" w:sz="1"/>
              <w:left w:val="single" w:color="999999" w:sz="1"/>
              <w:bottom w:val="single" w:color="999999" w:sz="1"/>
              <w:right w:val="single" w:color="999999" w:sz="1"/>
            </w:tcBorders>
            <w:shd w:fill="D9E2F3" w:val="clear"/>
            <w:tcMar>
              <w:top w:type="dxa" w:w="60"/>
              <w:left w:type="dxa" w:w="100"/>
              <w:bottom w:type="dxa" w:w="60"/>
              <w:right w:type="dxa" w:w="100"/>
            </w:tcMar>
          </w:tcPr>
          <w:p>
            <w:r>
              <w:rPr>
                <w:rFonts w:ascii="Times New Roman" w:cs="Times New Roman" w:eastAsia="Times New Roman" w:hAnsi="Times New Roman"/>
                <w:b/>
                <w:bCs/>
                <w:sz w:val="18"/>
                <w:szCs w:val="18"/>
              </w:rPr>
              <w:t xml:space="preserve">Unit</w:t>
            </w:r>
          </w:p>
        </w:tc>
        <w:tc>
          <w:tcPr>
            <w:tcW w:type="dxa" w:w="600"/>
            <w:tcBorders>
              <w:top w:val="single" w:color="999999" w:sz="1"/>
              <w:left w:val="single" w:color="999999" w:sz="1"/>
              <w:bottom w:val="single" w:color="999999" w:sz="1"/>
              <w:right w:val="single" w:color="999999" w:sz="1"/>
            </w:tcBorders>
            <w:shd w:fill="D9E2F3" w:val="clear"/>
            <w:tcMar>
              <w:top w:type="dxa" w:w="60"/>
              <w:left w:type="dxa" w:w="100"/>
              <w:bottom w:type="dxa" w:w="60"/>
              <w:right w:type="dxa" w:w="100"/>
            </w:tcMar>
          </w:tcPr>
          <w:p>
            <w:r>
              <w:rPr>
                <w:rFonts w:ascii="Times New Roman" w:cs="Times New Roman" w:eastAsia="Times New Roman" w:hAnsi="Times New Roman"/>
                <w:b/>
                <w:bCs/>
                <w:sz w:val="18"/>
                <w:szCs w:val="18"/>
              </w:rPr>
              <w:t xml:space="preserve">Calc</w:t>
            </w:r>
          </w:p>
        </w:tc>
        <w:tc>
          <w:tcPr>
            <w:tcW w:type="dxa" w:w="3700"/>
            <w:tcBorders>
              <w:top w:val="single" w:color="999999" w:sz="1"/>
              <w:left w:val="single" w:color="999999" w:sz="1"/>
              <w:bottom w:val="single" w:color="999999" w:sz="1"/>
              <w:right w:val="single" w:color="999999" w:sz="1"/>
            </w:tcBorders>
            <w:shd w:fill="D9E2F3" w:val="clear"/>
            <w:tcMar>
              <w:top w:type="dxa" w:w="60"/>
              <w:left w:type="dxa" w:w="100"/>
              <w:bottom w:type="dxa" w:w="60"/>
              <w:right w:type="dxa" w:w="100"/>
            </w:tcMar>
          </w:tcPr>
          <w:p>
            <w:r>
              <w:rPr>
                <w:rFonts w:ascii="Times New Roman" w:cs="Times New Roman" w:eastAsia="Times New Roman" w:hAnsi="Times New Roman"/>
                <w:b/>
                <w:bCs/>
                <w:sz w:val="18"/>
                <w:szCs w:val="18"/>
              </w:rPr>
              <w:t xml:space="preserve">Agronomic interpretation</w:t>
            </w:r>
          </w:p>
        </w:tc>
      </w:tr>
      <w:tr>
        <w:tc>
          <w:tcPr>
            <w:tcW w:type="dxa" w:w="16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days.rf.above.1mm_hv_y0_a10</w:t>
            </w:r>
          </w:p>
        </w:tc>
        <w:tc>
          <w:tcPr>
            <w:tcW w:type="dxa" w:w="12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Wet days (Rain&gt;1mm)</w:t>
            </w:r>
          </w:p>
        </w:tc>
        <w:tc>
          <w:tcPr>
            <w:tcW w:type="dxa" w:w="9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Harvest</w:t>
            </w:r>
          </w:p>
        </w:tc>
        <w:tc>
          <w:tcPr>
            <w:tcW w:type="dxa" w:w="5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y0</w:t>
            </w:r>
          </w:p>
        </w:tc>
        <w:tc>
          <w:tcPr>
            <w:tcW w:type="dxa" w:w="10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10d after prev. yr</w:t>
            </w:r>
          </w:p>
        </w:tc>
        <w:tc>
          <w:tcPr>
            <w:tcW w:type="dxa" w:w="5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days</w:t>
            </w:r>
          </w:p>
        </w:tc>
        <w:tc>
          <w:tcPr>
            <w:tcW w:type="dxa" w:w="6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Count</w:t>
            </w:r>
          </w:p>
        </w:tc>
        <w:tc>
          <w:tcPr>
            <w:tcW w:type="dxa" w:w="37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Post-harvest rain events in previous year, soil recharge initiation; carry-over for next season</w:t>
            </w:r>
          </w:p>
        </w:tc>
      </w:tr>
      <w:tr>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iaf_bb_y1_c10</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Leaf Area Index</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Bud Break</w:t>
            </w:r>
          </w:p>
        </w:tc>
        <w:tc>
          <w:tcPr>
            <w:tcW w:type="dxa" w:w="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y1</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centred ±10d</w:t>
            </w:r>
          </w:p>
        </w:tc>
        <w:tc>
          <w:tcPr>
            <w:tcW w:type="dxa" w:w="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m²/m²</w:t>
            </w:r>
          </w:p>
        </w:tc>
        <w:tc>
          <w:tcPr>
            <w:tcW w:type="dxa" w:w="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Average</w:t>
            </w:r>
          </w:p>
        </w:tc>
        <w:tc>
          <w:tcPr>
            <w:tcW w:type="dxa" w:w="37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LAI at budburst, canopy size at growth initiation; proxy for vine vigour entering the season</w:t>
            </w:r>
          </w:p>
        </w:tc>
      </w:tr>
      <w:tr>
        <w:tc>
          <w:tcPr>
            <w:tcW w:type="dxa" w:w="16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iaf_fl_y1_b10</w:t>
            </w:r>
          </w:p>
        </w:tc>
        <w:tc>
          <w:tcPr>
            <w:tcW w:type="dxa" w:w="12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Leaf Area Index</w:t>
            </w:r>
          </w:p>
        </w:tc>
        <w:tc>
          <w:tcPr>
            <w:tcW w:type="dxa" w:w="9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Flowering</w:t>
            </w:r>
          </w:p>
        </w:tc>
        <w:tc>
          <w:tcPr>
            <w:tcW w:type="dxa" w:w="5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y1</w:t>
            </w:r>
          </w:p>
        </w:tc>
        <w:tc>
          <w:tcPr>
            <w:tcW w:type="dxa" w:w="10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10d before</w:t>
            </w:r>
          </w:p>
        </w:tc>
        <w:tc>
          <w:tcPr>
            <w:tcW w:type="dxa" w:w="5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m²/m²</w:t>
            </w:r>
          </w:p>
        </w:tc>
        <w:tc>
          <w:tcPr>
            <w:tcW w:type="dxa" w:w="6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Average</w:t>
            </w:r>
          </w:p>
        </w:tc>
        <w:tc>
          <w:tcPr>
            <w:tcW w:type="dxa" w:w="37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Pre-flowering canopy development, vegetative vigour entering the critical fruit-set window</w:t>
            </w:r>
          </w:p>
        </w:tc>
      </w:tr>
      <w:tr>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iaf_fl_y1_b20</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Leaf Area Index</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Flowering</w:t>
            </w:r>
          </w:p>
        </w:tc>
        <w:tc>
          <w:tcPr>
            <w:tcW w:type="dxa" w:w="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y1</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20d before</w:t>
            </w:r>
          </w:p>
        </w:tc>
        <w:tc>
          <w:tcPr>
            <w:tcW w:type="dxa" w:w="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m²/m²</w:t>
            </w:r>
          </w:p>
        </w:tc>
        <w:tc>
          <w:tcPr>
            <w:tcW w:type="dxa" w:w="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Average</w:t>
            </w:r>
          </w:p>
        </w:tc>
        <w:tc>
          <w:tcPr>
            <w:tcW w:type="dxa" w:w="37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Broader pre-flowering LAI window, canopy development trajectory before flowering</w:t>
            </w:r>
          </w:p>
        </w:tc>
      </w:tr>
      <w:tr>
        <w:tc>
          <w:tcPr>
            <w:tcW w:type="dxa" w:w="16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iaf_fl_y1_b30</w:t>
            </w:r>
          </w:p>
        </w:tc>
        <w:tc>
          <w:tcPr>
            <w:tcW w:type="dxa" w:w="12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Leaf Area Index</w:t>
            </w:r>
          </w:p>
        </w:tc>
        <w:tc>
          <w:tcPr>
            <w:tcW w:type="dxa" w:w="9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Flowering</w:t>
            </w:r>
          </w:p>
        </w:tc>
        <w:tc>
          <w:tcPr>
            <w:tcW w:type="dxa" w:w="5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y1</w:t>
            </w:r>
          </w:p>
        </w:tc>
        <w:tc>
          <w:tcPr>
            <w:tcW w:type="dxa" w:w="10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30d before</w:t>
            </w:r>
          </w:p>
        </w:tc>
        <w:tc>
          <w:tcPr>
            <w:tcW w:type="dxa" w:w="5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m²/m²</w:t>
            </w:r>
          </w:p>
        </w:tc>
        <w:tc>
          <w:tcPr>
            <w:tcW w:type="dxa" w:w="6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Average</w:t>
            </w:r>
          </w:p>
        </w:tc>
        <w:tc>
          <w:tcPr>
            <w:tcW w:type="dxa" w:w="37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Early pre-flowering canopy, wider window capturing canopy build-up phase</w:t>
            </w:r>
          </w:p>
        </w:tc>
      </w:tr>
      <w:tr>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iaf_fl_y1_a10</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Leaf Area Index</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Flowering</w:t>
            </w:r>
          </w:p>
        </w:tc>
        <w:tc>
          <w:tcPr>
            <w:tcW w:type="dxa" w:w="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y1</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10d after</w:t>
            </w:r>
          </w:p>
        </w:tc>
        <w:tc>
          <w:tcPr>
            <w:tcW w:type="dxa" w:w="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m²/m²</w:t>
            </w:r>
          </w:p>
        </w:tc>
        <w:tc>
          <w:tcPr>
            <w:tcW w:type="dxa" w:w="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Average</w:t>
            </w:r>
          </w:p>
        </w:tc>
        <w:tc>
          <w:tcPr>
            <w:tcW w:type="dxa" w:w="37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Post-flowering canopy, rapid leaf area expansion immediately after flowering; vigour proxy</w:t>
            </w:r>
          </w:p>
        </w:tc>
      </w:tr>
      <w:tr>
        <w:tc>
          <w:tcPr>
            <w:tcW w:type="dxa" w:w="16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iaf_hv_y1_c10</w:t>
            </w:r>
          </w:p>
        </w:tc>
        <w:tc>
          <w:tcPr>
            <w:tcW w:type="dxa" w:w="12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Leaf Area Index</w:t>
            </w:r>
          </w:p>
        </w:tc>
        <w:tc>
          <w:tcPr>
            <w:tcW w:type="dxa" w:w="9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Harvest</w:t>
            </w:r>
          </w:p>
        </w:tc>
        <w:tc>
          <w:tcPr>
            <w:tcW w:type="dxa" w:w="5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y1</w:t>
            </w:r>
          </w:p>
        </w:tc>
        <w:tc>
          <w:tcPr>
            <w:tcW w:type="dxa" w:w="10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centred ±10d</w:t>
            </w:r>
          </w:p>
        </w:tc>
        <w:tc>
          <w:tcPr>
            <w:tcW w:type="dxa" w:w="5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m²/m²</w:t>
            </w:r>
          </w:p>
        </w:tc>
        <w:tc>
          <w:tcPr>
            <w:tcW w:type="dxa" w:w="6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Average</w:t>
            </w:r>
          </w:p>
        </w:tc>
        <w:tc>
          <w:tcPr>
            <w:tcW w:type="dxa" w:w="37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LAI at harvest, canopy size at the time of picking; DOMINANT RVV feature (20/20 rules); high LAI → below trend</w:t>
            </w:r>
          </w:p>
        </w:tc>
      </w:tr>
      <w:tr>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iaf_fl_y0_b10</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Leaf Area Index</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Flowering</w:t>
            </w:r>
          </w:p>
        </w:tc>
        <w:tc>
          <w:tcPr>
            <w:tcW w:type="dxa" w:w="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y0</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10d before prev. yr</w:t>
            </w:r>
          </w:p>
        </w:tc>
        <w:tc>
          <w:tcPr>
            <w:tcW w:type="dxa" w:w="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m²/m²</w:t>
            </w:r>
          </w:p>
        </w:tc>
        <w:tc>
          <w:tcPr>
            <w:tcW w:type="dxa" w:w="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Average</w:t>
            </w:r>
          </w:p>
        </w:tc>
        <w:tc>
          <w:tcPr>
            <w:tcW w:type="dxa" w:w="37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Previous-year pre-flowering LAI, vine canopy state before prior-year fruit set; carry-over vigour signal</w:t>
            </w:r>
          </w:p>
        </w:tc>
      </w:tr>
      <w:tr>
        <w:tc>
          <w:tcPr>
            <w:tcW w:type="dxa" w:w="16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iaf_fl_y0_b20</w:t>
            </w:r>
          </w:p>
        </w:tc>
        <w:tc>
          <w:tcPr>
            <w:tcW w:type="dxa" w:w="12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Leaf Area Index</w:t>
            </w:r>
          </w:p>
        </w:tc>
        <w:tc>
          <w:tcPr>
            <w:tcW w:type="dxa" w:w="9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Flowering</w:t>
            </w:r>
          </w:p>
        </w:tc>
        <w:tc>
          <w:tcPr>
            <w:tcW w:type="dxa" w:w="5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y0</w:t>
            </w:r>
          </w:p>
        </w:tc>
        <w:tc>
          <w:tcPr>
            <w:tcW w:type="dxa" w:w="10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20d before prev. yr</w:t>
            </w:r>
          </w:p>
        </w:tc>
        <w:tc>
          <w:tcPr>
            <w:tcW w:type="dxa" w:w="5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m²/m²</w:t>
            </w:r>
          </w:p>
        </w:tc>
        <w:tc>
          <w:tcPr>
            <w:tcW w:type="dxa" w:w="6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Average</w:t>
            </w:r>
          </w:p>
        </w:tc>
        <w:tc>
          <w:tcPr>
            <w:tcW w:type="dxa" w:w="37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Wider previous-year pre-flowering LAI window</w:t>
            </w:r>
          </w:p>
        </w:tc>
      </w:tr>
      <w:tr>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iaf_fl_y0_b30</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Leaf Area Index</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Flowering</w:t>
            </w:r>
          </w:p>
        </w:tc>
        <w:tc>
          <w:tcPr>
            <w:tcW w:type="dxa" w:w="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y0</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30d before prev. yr</w:t>
            </w:r>
          </w:p>
        </w:tc>
        <w:tc>
          <w:tcPr>
            <w:tcW w:type="dxa" w:w="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m²/m²</w:t>
            </w:r>
          </w:p>
        </w:tc>
        <w:tc>
          <w:tcPr>
            <w:tcW w:type="dxa" w:w="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Average</w:t>
            </w:r>
          </w:p>
        </w:tc>
        <w:tc>
          <w:tcPr>
            <w:tcW w:type="dxa" w:w="37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Widest previous-year pre-flowering LAI window: M5Rules LAI differential uses b10/b20/b30 together</w:t>
            </w:r>
          </w:p>
        </w:tc>
      </w:tr>
    </w:tbl>
    <w:p>
      <w:pPr>
        <w:spacing w:after="200" w:before="80"/>
        <w:jc w:val="center"/>
      </w:pPr>
      <w:r>
        <w:rPr>
          <w:rFonts w:ascii="Times New Roman" w:cs="Times New Roman" w:eastAsia="Times New Roman" w:hAnsi="Times New Roman"/>
          <w:i/>
          <w:iCs/>
          <w:sz w:val="20"/>
          <w:szCs w:val="20"/>
        </w:rPr>
        <w:t xml:space="preserve">Table C.5. Leaf Area Index features. iaf_hv_y1_c10 is the dominant RVV feature (20/20 rules).</w:t>
      </w:r>
    </w:p>
    <w:p>
      <w:pPr>
        <w:spacing w:after="60" w:before="60"/>
      </w:pPr>
      <w:r>
        <w:t xml:space="preserve"/>
      </w:r>
    </w:p>
    <w:p>
      <w:pPr>
        <w:pStyle w:val="Heading2"/>
        <w:spacing w:after="120" w:before="300"/>
      </w:pPr>
      <w:r>
        <w:rPr>
          <w:rFonts w:ascii="Times New Roman" w:cs="Times New Roman" w:eastAsia="Times New Roman" w:hAnsi="Times New Roman"/>
          <w:b/>
          <w:bCs/>
          <w:sz w:val="24"/>
          <w:szCs w:val="24"/>
        </w:rPr>
        <w:t xml:space="preserve">C.6 Soil Water Features (18 features)</w:t>
      </w:r>
    </w:p>
    <w:p>
      <w:pPr>
        <w:spacing w:after="60" w:before="60"/>
      </w:pPr>
      <w: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600"/>
        <w:gridCol w:w="1400"/>
        <w:gridCol w:w="900"/>
        <w:gridCol w:w="500"/>
        <w:gridCol w:w="1000"/>
        <w:gridCol w:w="500"/>
        <w:gridCol w:w="600"/>
        <w:gridCol w:w="3500"/>
      </w:tblGrid>
      <w:tr>
        <w:trPr>
          <w:tblHeader/>
        </w:trPr>
        <w:tc>
          <w:tcPr>
            <w:tcW w:type="dxa" w:w="1600"/>
            <w:tcBorders>
              <w:top w:val="single" w:color="999999" w:sz="1"/>
              <w:left w:val="single" w:color="999999" w:sz="1"/>
              <w:bottom w:val="single" w:color="999999" w:sz="1"/>
              <w:right w:val="single" w:color="999999" w:sz="1"/>
            </w:tcBorders>
            <w:shd w:fill="D9E2F3" w:val="clear"/>
            <w:tcMar>
              <w:top w:type="dxa" w:w="60"/>
              <w:left w:type="dxa" w:w="100"/>
              <w:bottom w:type="dxa" w:w="60"/>
              <w:right w:type="dxa" w:w="100"/>
            </w:tcMar>
          </w:tcPr>
          <w:p>
            <w:r>
              <w:rPr>
                <w:rFonts w:ascii="Times New Roman" w:cs="Times New Roman" w:eastAsia="Times New Roman" w:hAnsi="Times New Roman"/>
                <w:b/>
                <w:bCs/>
                <w:sz w:val="18"/>
                <w:szCs w:val="18"/>
              </w:rPr>
              <w:t xml:space="preserve">Feature name</w:t>
            </w:r>
          </w:p>
        </w:tc>
        <w:tc>
          <w:tcPr>
            <w:tcW w:type="dxa" w:w="1400"/>
            <w:tcBorders>
              <w:top w:val="single" w:color="999999" w:sz="1"/>
              <w:left w:val="single" w:color="999999" w:sz="1"/>
              <w:bottom w:val="single" w:color="999999" w:sz="1"/>
              <w:right w:val="single" w:color="999999" w:sz="1"/>
            </w:tcBorders>
            <w:shd w:fill="D9E2F3" w:val="clear"/>
            <w:tcMar>
              <w:top w:type="dxa" w:w="60"/>
              <w:left w:type="dxa" w:w="100"/>
              <w:bottom w:type="dxa" w:w="60"/>
              <w:right w:type="dxa" w:w="100"/>
            </w:tcMar>
          </w:tcPr>
          <w:p>
            <w:r>
              <w:rPr>
                <w:rFonts w:ascii="Times New Roman" w:cs="Times New Roman" w:eastAsia="Times New Roman" w:hAnsi="Times New Roman"/>
                <w:b/>
                <w:bCs/>
                <w:sz w:val="18"/>
                <w:szCs w:val="18"/>
              </w:rPr>
              <w:t xml:space="preserve">Variable</w:t>
            </w:r>
          </w:p>
        </w:tc>
        <w:tc>
          <w:tcPr>
            <w:tcW w:type="dxa" w:w="900"/>
            <w:tcBorders>
              <w:top w:val="single" w:color="999999" w:sz="1"/>
              <w:left w:val="single" w:color="999999" w:sz="1"/>
              <w:bottom w:val="single" w:color="999999" w:sz="1"/>
              <w:right w:val="single" w:color="999999" w:sz="1"/>
            </w:tcBorders>
            <w:shd w:fill="D9E2F3" w:val="clear"/>
            <w:tcMar>
              <w:top w:type="dxa" w:w="60"/>
              <w:left w:type="dxa" w:w="100"/>
              <w:bottom w:type="dxa" w:w="60"/>
              <w:right w:type="dxa" w:w="100"/>
            </w:tcMar>
          </w:tcPr>
          <w:p>
            <w:r>
              <w:rPr>
                <w:rFonts w:ascii="Times New Roman" w:cs="Times New Roman" w:eastAsia="Times New Roman" w:hAnsi="Times New Roman"/>
                <w:b/>
                <w:bCs/>
                <w:sz w:val="18"/>
                <w:szCs w:val="18"/>
              </w:rPr>
              <w:t xml:space="preserve">Stage</w:t>
            </w:r>
          </w:p>
        </w:tc>
        <w:tc>
          <w:tcPr>
            <w:tcW w:type="dxa" w:w="500"/>
            <w:tcBorders>
              <w:top w:val="single" w:color="999999" w:sz="1"/>
              <w:left w:val="single" w:color="999999" w:sz="1"/>
              <w:bottom w:val="single" w:color="999999" w:sz="1"/>
              <w:right w:val="single" w:color="999999" w:sz="1"/>
            </w:tcBorders>
            <w:shd w:fill="D9E2F3" w:val="clear"/>
            <w:tcMar>
              <w:top w:type="dxa" w:w="60"/>
              <w:left w:type="dxa" w:w="100"/>
              <w:bottom w:type="dxa" w:w="60"/>
              <w:right w:type="dxa" w:w="100"/>
            </w:tcMar>
          </w:tcPr>
          <w:p>
            <w:r>
              <w:rPr>
                <w:rFonts w:ascii="Times New Roman" w:cs="Times New Roman" w:eastAsia="Times New Roman" w:hAnsi="Times New Roman"/>
                <w:b/>
                <w:bCs/>
                <w:sz w:val="18"/>
                <w:szCs w:val="18"/>
              </w:rPr>
              <w:t xml:space="preserve">Year</w:t>
            </w:r>
          </w:p>
        </w:tc>
        <w:tc>
          <w:tcPr>
            <w:tcW w:type="dxa" w:w="1000"/>
            <w:tcBorders>
              <w:top w:val="single" w:color="999999" w:sz="1"/>
              <w:left w:val="single" w:color="999999" w:sz="1"/>
              <w:bottom w:val="single" w:color="999999" w:sz="1"/>
              <w:right w:val="single" w:color="999999" w:sz="1"/>
            </w:tcBorders>
            <w:shd w:fill="D9E2F3" w:val="clear"/>
            <w:tcMar>
              <w:top w:type="dxa" w:w="60"/>
              <w:left w:type="dxa" w:w="100"/>
              <w:bottom w:type="dxa" w:w="60"/>
              <w:right w:type="dxa" w:w="100"/>
            </w:tcMar>
          </w:tcPr>
          <w:p>
            <w:r>
              <w:rPr>
                <w:rFonts w:ascii="Times New Roman" w:cs="Times New Roman" w:eastAsia="Times New Roman" w:hAnsi="Times New Roman"/>
                <w:b/>
                <w:bCs/>
                <w:sz w:val="18"/>
                <w:szCs w:val="18"/>
              </w:rPr>
              <w:t xml:space="preserve">Window</w:t>
            </w:r>
          </w:p>
        </w:tc>
        <w:tc>
          <w:tcPr>
            <w:tcW w:type="dxa" w:w="500"/>
            <w:tcBorders>
              <w:top w:val="single" w:color="999999" w:sz="1"/>
              <w:left w:val="single" w:color="999999" w:sz="1"/>
              <w:bottom w:val="single" w:color="999999" w:sz="1"/>
              <w:right w:val="single" w:color="999999" w:sz="1"/>
            </w:tcBorders>
            <w:shd w:fill="D9E2F3" w:val="clear"/>
            <w:tcMar>
              <w:top w:type="dxa" w:w="60"/>
              <w:left w:type="dxa" w:w="100"/>
              <w:bottom w:type="dxa" w:w="60"/>
              <w:right w:type="dxa" w:w="100"/>
            </w:tcMar>
          </w:tcPr>
          <w:p>
            <w:r>
              <w:rPr>
                <w:rFonts w:ascii="Times New Roman" w:cs="Times New Roman" w:eastAsia="Times New Roman" w:hAnsi="Times New Roman"/>
                <w:b/>
                <w:bCs/>
                <w:sz w:val="18"/>
                <w:szCs w:val="18"/>
              </w:rPr>
              <w:t xml:space="preserve">Unit</w:t>
            </w:r>
          </w:p>
        </w:tc>
        <w:tc>
          <w:tcPr>
            <w:tcW w:type="dxa" w:w="600"/>
            <w:tcBorders>
              <w:top w:val="single" w:color="999999" w:sz="1"/>
              <w:left w:val="single" w:color="999999" w:sz="1"/>
              <w:bottom w:val="single" w:color="999999" w:sz="1"/>
              <w:right w:val="single" w:color="999999" w:sz="1"/>
            </w:tcBorders>
            <w:shd w:fill="D9E2F3" w:val="clear"/>
            <w:tcMar>
              <w:top w:type="dxa" w:w="60"/>
              <w:left w:type="dxa" w:w="100"/>
              <w:bottom w:type="dxa" w:w="60"/>
              <w:right w:type="dxa" w:w="100"/>
            </w:tcMar>
          </w:tcPr>
          <w:p>
            <w:r>
              <w:rPr>
                <w:rFonts w:ascii="Times New Roman" w:cs="Times New Roman" w:eastAsia="Times New Roman" w:hAnsi="Times New Roman"/>
                <w:b/>
                <w:bCs/>
                <w:sz w:val="18"/>
                <w:szCs w:val="18"/>
              </w:rPr>
              <w:t xml:space="preserve">Calc</w:t>
            </w:r>
          </w:p>
        </w:tc>
        <w:tc>
          <w:tcPr>
            <w:tcW w:type="dxa" w:w="3500"/>
            <w:tcBorders>
              <w:top w:val="single" w:color="999999" w:sz="1"/>
              <w:left w:val="single" w:color="999999" w:sz="1"/>
              <w:bottom w:val="single" w:color="999999" w:sz="1"/>
              <w:right w:val="single" w:color="999999" w:sz="1"/>
            </w:tcBorders>
            <w:shd w:fill="D9E2F3" w:val="clear"/>
            <w:tcMar>
              <w:top w:type="dxa" w:w="60"/>
              <w:left w:type="dxa" w:w="100"/>
              <w:bottom w:type="dxa" w:w="60"/>
              <w:right w:type="dxa" w:w="100"/>
            </w:tcMar>
          </w:tcPr>
          <w:p>
            <w:r>
              <w:rPr>
                <w:rFonts w:ascii="Times New Roman" w:cs="Times New Roman" w:eastAsia="Times New Roman" w:hAnsi="Times New Roman"/>
                <w:b/>
                <w:bCs/>
                <w:sz w:val="18"/>
                <w:szCs w:val="18"/>
              </w:rPr>
              <w:t xml:space="preserve">Agronomic interpretation</w:t>
            </w:r>
          </w:p>
        </w:tc>
      </w:tr>
      <w:tr>
        <w:tc>
          <w:tcPr>
            <w:tcW w:type="dxa" w:w="16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iaf_fl_y0_a10</w:t>
            </w:r>
          </w:p>
        </w:tc>
        <w:tc>
          <w:tcPr>
            <w:tcW w:type="dxa" w:w="14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Leaf Area Index</w:t>
            </w:r>
          </w:p>
        </w:tc>
        <w:tc>
          <w:tcPr>
            <w:tcW w:type="dxa" w:w="9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Flowering</w:t>
            </w:r>
          </w:p>
        </w:tc>
        <w:tc>
          <w:tcPr>
            <w:tcW w:type="dxa" w:w="5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y0</w:t>
            </w:r>
          </w:p>
        </w:tc>
        <w:tc>
          <w:tcPr>
            <w:tcW w:type="dxa" w:w="10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10d after prev. yr</w:t>
            </w:r>
          </w:p>
        </w:tc>
        <w:tc>
          <w:tcPr>
            <w:tcW w:type="dxa" w:w="5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m²/m²</w:t>
            </w:r>
          </w:p>
        </w:tc>
        <w:tc>
          <w:tcPr>
            <w:tcW w:type="dxa" w:w="6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Average</w:t>
            </w:r>
          </w:p>
        </w:tc>
        <w:tc>
          <w:tcPr>
            <w:tcW w:type="dxa" w:w="35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Post-flowering LAI in previous year, canopy expansion after prior-year fruit set</w:t>
            </w:r>
          </w:p>
        </w:tc>
      </w:tr>
      <w:tr>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swa_fl_y1_a15</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Soil water availability</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Flowering</w:t>
            </w:r>
          </w:p>
        </w:tc>
        <w:tc>
          <w:tcPr>
            <w:tcW w:type="dxa" w:w="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y1</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15d after</w:t>
            </w:r>
          </w:p>
        </w:tc>
        <w:tc>
          <w:tcPr>
            <w:tcW w:type="dxa" w:w="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mm</w:t>
            </w:r>
          </w:p>
        </w:tc>
        <w:tc>
          <w:tcPr>
            <w:tcW w:type="dxa" w:w="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Average</w:t>
            </w:r>
          </w:p>
        </w:tc>
        <w:tc>
          <w:tcPr>
            <w:tcW w:type="dxa" w:w="3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Soil water balance post-flowering, moisture availability during early berry development; excess → vigour/disease in RVV</w:t>
            </w:r>
          </w:p>
        </w:tc>
      </w:tr>
      <w:tr>
        <w:tc>
          <w:tcPr>
            <w:tcW w:type="dxa" w:w="16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swa_fl_y1_a30</w:t>
            </w:r>
          </w:p>
        </w:tc>
        <w:tc>
          <w:tcPr>
            <w:tcW w:type="dxa" w:w="14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Soil water availability</w:t>
            </w:r>
          </w:p>
        </w:tc>
        <w:tc>
          <w:tcPr>
            <w:tcW w:type="dxa" w:w="9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Flowering</w:t>
            </w:r>
          </w:p>
        </w:tc>
        <w:tc>
          <w:tcPr>
            <w:tcW w:type="dxa" w:w="5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y1</w:t>
            </w:r>
          </w:p>
        </w:tc>
        <w:tc>
          <w:tcPr>
            <w:tcW w:type="dxa" w:w="10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30d after</w:t>
            </w:r>
          </w:p>
        </w:tc>
        <w:tc>
          <w:tcPr>
            <w:tcW w:type="dxa" w:w="5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mm</w:t>
            </w:r>
          </w:p>
        </w:tc>
        <w:tc>
          <w:tcPr>
            <w:tcW w:type="dxa" w:w="6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Average</w:t>
            </w:r>
          </w:p>
        </w:tc>
        <w:tc>
          <w:tcPr>
            <w:tcW w:type="dxa" w:w="35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Wider post-flowering soil water window, cumulative moisture through mid-season; appears in RVV rules 3, 16, 19</w:t>
            </w:r>
          </w:p>
        </w:tc>
      </w:tr>
      <w:tr>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swa_hv_y1_b20</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Soil water availability</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Harvest</w:t>
            </w:r>
          </w:p>
        </w:tc>
        <w:tc>
          <w:tcPr>
            <w:tcW w:type="dxa" w:w="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y1</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20d before</w:t>
            </w:r>
          </w:p>
        </w:tc>
        <w:tc>
          <w:tcPr>
            <w:tcW w:type="dxa" w:w="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mm</w:t>
            </w:r>
          </w:p>
        </w:tc>
        <w:tc>
          <w:tcPr>
            <w:tcW w:type="dxa" w:w="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Average</w:t>
            </w:r>
          </w:p>
        </w:tc>
        <w:tc>
          <w:tcPr>
            <w:tcW w:type="dxa" w:w="3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Pre-harvest soil water: DOMINANT feature in both regions; RDD: moderate deficit → above trend; RVV: deficit → below trend</w:t>
            </w:r>
          </w:p>
        </w:tc>
      </w:tr>
      <w:tr>
        <w:tc>
          <w:tcPr>
            <w:tcW w:type="dxa" w:w="16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swa_hv_y0_a15</w:t>
            </w:r>
          </w:p>
        </w:tc>
        <w:tc>
          <w:tcPr>
            <w:tcW w:type="dxa" w:w="14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Soil water availability</w:t>
            </w:r>
          </w:p>
        </w:tc>
        <w:tc>
          <w:tcPr>
            <w:tcW w:type="dxa" w:w="9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Harvest</w:t>
            </w:r>
          </w:p>
        </w:tc>
        <w:tc>
          <w:tcPr>
            <w:tcW w:type="dxa" w:w="5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y0</w:t>
            </w:r>
          </w:p>
        </w:tc>
        <w:tc>
          <w:tcPr>
            <w:tcW w:type="dxa" w:w="10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15d after prev. yr</w:t>
            </w:r>
          </w:p>
        </w:tc>
        <w:tc>
          <w:tcPr>
            <w:tcW w:type="dxa" w:w="5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mm</w:t>
            </w:r>
          </w:p>
        </w:tc>
        <w:tc>
          <w:tcPr>
            <w:tcW w:type="dxa" w:w="6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Average</w:t>
            </w:r>
          </w:p>
        </w:tc>
        <w:tc>
          <w:tcPr>
            <w:tcW w:type="dxa" w:w="35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Post-harvest soil water in previous year, soil recharge initiation; carry-over moisture for next season</w:t>
            </w:r>
          </w:p>
        </w:tc>
      </w:tr>
      <w:tr>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swa_hv_y0_a20</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Soil water availability</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Harvest</w:t>
            </w:r>
          </w:p>
        </w:tc>
        <w:tc>
          <w:tcPr>
            <w:tcW w:type="dxa" w:w="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y0</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20d after prev. yr</w:t>
            </w:r>
          </w:p>
        </w:tc>
        <w:tc>
          <w:tcPr>
            <w:tcW w:type="dxa" w:w="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mm</w:t>
            </w:r>
          </w:p>
        </w:tc>
        <w:tc>
          <w:tcPr>
            <w:tcW w:type="dxa" w:w="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Average</w:t>
            </w:r>
          </w:p>
        </w:tc>
        <w:tc>
          <w:tcPr>
            <w:tcW w:type="dxa" w:w="3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Wider post-harvest soil water in previous year, confirms carry-over recharge pattern</w:t>
            </w:r>
          </w:p>
        </w:tc>
      </w:tr>
      <w:tr>
        <w:tc>
          <w:tcPr>
            <w:tcW w:type="dxa" w:w="16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sw.less.15wp_fl_y1_a10</w:t>
            </w:r>
          </w:p>
        </w:tc>
        <w:tc>
          <w:tcPr>
            <w:tcW w:type="dxa" w:w="14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Stress days (Sm&lt;1.5×Wp)</w:t>
            </w:r>
          </w:p>
        </w:tc>
        <w:tc>
          <w:tcPr>
            <w:tcW w:type="dxa" w:w="9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Flowering</w:t>
            </w:r>
          </w:p>
        </w:tc>
        <w:tc>
          <w:tcPr>
            <w:tcW w:type="dxa" w:w="5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y1</w:t>
            </w:r>
          </w:p>
        </w:tc>
        <w:tc>
          <w:tcPr>
            <w:tcW w:type="dxa" w:w="10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10d after</w:t>
            </w:r>
          </w:p>
        </w:tc>
        <w:tc>
          <w:tcPr>
            <w:tcW w:type="dxa" w:w="5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days</w:t>
            </w:r>
          </w:p>
        </w:tc>
        <w:tc>
          <w:tcPr>
            <w:tcW w:type="dxa" w:w="6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Count</w:t>
            </w:r>
          </w:p>
        </w:tc>
        <w:tc>
          <w:tcPr>
            <w:tcW w:type="dxa" w:w="35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Severe stress days post-flowering, days when soil water falls below vine wilting threshold</w:t>
            </w:r>
          </w:p>
        </w:tc>
      </w:tr>
      <w:tr>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sw.less.15wp_fl_y1_a20</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Stress days (Sm&lt;1.5×Wp)</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Flowering</w:t>
            </w:r>
          </w:p>
        </w:tc>
        <w:tc>
          <w:tcPr>
            <w:tcW w:type="dxa" w:w="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y1</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20d after</w:t>
            </w:r>
          </w:p>
        </w:tc>
        <w:tc>
          <w:tcPr>
            <w:tcW w:type="dxa" w:w="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days</w:t>
            </w:r>
          </w:p>
        </w:tc>
        <w:tc>
          <w:tcPr>
            <w:tcW w:type="dxa" w:w="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Count</w:t>
            </w:r>
          </w:p>
        </w:tc>
        <w:tc>
          <w:tcPr>
            <w:tcW w:type="dxa" w:w="3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Extended post-flowering stress exposure</w:t>
            </w:r>
          </w:p>
        </w:tc>
      </w:tr>
      <w:tr>
        <w:tc>
          <w:tcPr>
            <w:tcW w:type="dxa" w:w="16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sw.less.15wp_sm_y1_a10</w:t>
            </w:r>
          </w:p>
        </w:tc>
        <w:tc>
          <w:tcPr>
            <w:tcW w:type="dxa" w:w="14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Stress days (Sm&lt;1.5×Wp)</w:t>
            </w:r>
          </w:p>
        </w:tc>
        <w:tc>
          <w:tcPr>
            <w:tcW w:type="dxa" w:w="9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Start Maturity</w:t>
            </w:r>
          </w:p>
        </w:tc>
        <w:tc>
          <w:tcPr>
            <w:tcW w:type="dxa" w:w="5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y1</w:t>
            </w:r>
          </w:p>
        </w:tc>
        <w:tc>
          <w:tcPr>
            <w:tcW w:type="dxa" w:w="10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10d after</w:t>
            </w:r>
          </w:p>
        </w:tc>
        <w:tc>
          <w:tcPr>
            <w:tcW w:type="dxa" w:w="5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days</w:t>
            </w:r>
          </w:p>
        </w:tc>
        <w:tc>
          <w:tcPr>
            <w:tcW w:type="dxa" w:w="6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Count</w:t>
            </w:r>
          </w:p>
        </w:tc>
        <w:tc>
          <w:tcPr>
            <w:tcW w:type="dxa" w:w="35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Severe stress days at veraison onset, critical window for sugar–acid balance</w:t>
            </w:r>
          </w:p>
        </w:tc>
      </w:tr>
      <w:tr>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sw.less.15wp_sm_y1_a20</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Stress days (Sm&lt;1.5×Wp)</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Start Maturity</w:t>
            </w:r>
          </w:p>
        </w:tc>
        <w:tc>
          <w:tcPr>
            <w:tcW w:type="dxa" w:w="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y1</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20d after</w:t>
            </w:r>
          </w:p>
        </w:tc>
        <w:tc>
          <w:tcPr>
            <w:tcW w:type="dxa" w:w="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days</w:t>
            </w:r>
          </w:p>
        </w:tc>
        <w:tc>
          <w:tcPr>
            <w:tcW w:type="dxa" w:w="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Count</w:t>
            </w:r>
          </w:p>
        </w:tc>
        <w:tc>
          <w:tcPr>
            <w:tcW w:type="dxa" w:w="3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Extended stress at maturity, prolonged wilting-level stress during ripening</w:t>
            </w:r>
          </w:p>
        </w:tc>
      </w:tr>
      <w:tr>
        <w:tc>
          <w:tcPr>
            <w:tcW w:type="dxa" w:w="16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sw.less.15wp_hv_y1_b20</w:t>
            </w:r>
          </w:p>
        </w:tc>
        <w:tc>
          <w:tcPr>
            <w:tcW w:type="dxa" w:w="14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Stress days (Sm&lt;1.5×Wp)</w:t>
            </w:r>
          </w:p>
        </w:tc>
        <w:tc>
          <w:tcPr>
            <w:tcW w:type="dxa" w:w="9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Harvest</w:t>
            </w:r>
          </w:p>
        </w:tc>
        <w:tc>
          <w:tcPr>
            <w:tcW w:type="dxa" w:w="5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y1</w:t>
            </w:r>
          </w:p>
        </w:tc>
        <w:tc>
          <w:tcPr>
            <w:tcW w:type="dxa" w:w="10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20d before</w:t>
            </w:r>
          </w:p>
        </w:tc>
        <w:tc>
          <w:tcPr>
            <w:tcW w:type="dxa" w:w="5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days</w:t>
            </w:r>
          </w:p>
        </w:tc>
        <w:tc>
          <w:tcPr>
            <w:tcW w:type="dxa" w:w="6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Count</w:t>
            </w:r>
          </w:p>
        </w:tc>
        <w:tc>
          <w:tcPr>
            <w:tcW w:type="dxa" w:w="35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Pre-harvest severe stress, intense berry concentration but risk of vine damage if prolonged</w:t>
            </w:r>
          </w:p>
        </w:tc>
      </w:tr>
      <w:tr>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sw.less.15wp_hv_y1_a20</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Stress days (Sm&lt;1.5×Wp)</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Harvest</w:t>
            </w:r>
          </w:p>
        </w:tc>
        <w:tc>
          <w:tcPr>
            <w:tcW w:type="dxa" w:w="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y1</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20d after</w:t>
            </w:r>
          </w:p>
        </w:tc>
        <w:tc>
          <w:tcPr>
            <w:tcW w:type="dxa" w:w="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days</w:t>
            </w:r>
          </w:p>
        </w:tc>
        <w:tc>
          <w:tcPr>
            <w:tcW w:type="dxa" w:w="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Count</w:t>
            </w:r>
          </w:p>
        </w:tc>
        <w:tc>
          <w:tcPr>
            <w:tcW w:type="dxa" w:w="3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Post-harvest severe stress, vine recovery period after harvest</w:t>
            </w:r>
          </w:p>
        </w:tc>
      </w:tr>
      <w:tr>
        <w:tc>
          <w:tcPr>
            <w:tcW w:type="dxa" w:w="16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sw.less.15wp_fl_y0_a10</w:t>
            </w:r>
          </w:p>
        </w:tc>
        <w:tc>
          <w:tcPr>
            <w:tcW w:type="dxa" w:w="14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Stress days (Sm&lt;1.5×Wp)</w:t>
            </w:r>
          </w:p>
        </w:tc>
        <w:tc>
          <w:tcPr>
            <w:tcW w:type="dxa" w:w="9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Flowering</w:t>
            </w:r>
          </w:p>
        </w:tc>
        <w:tc>
          <w:tcPr>
            <w:tcW w:type="dxa" w:w="5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y0</w:t>
            </w:r>
          </w:p>
        </w:tc>
        <w:tc>
          <w:tcPr>
            <w:tcW w:type="dxa" w:w="10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10d after prev. yr</w:t>
            </w:r>
          </w:p>
        </w:tc>
        <w:tc>
          <w:tcPr>
            <w:tcW w:type="dxa" w:w="5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days</w:t>
            </w:r>
          </w:p>
        </w:tc>
        <w:tc>
          <w:tcPr>
            <w:tcW w:type="dxa" w:w="6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Count</w:t>
            </w:r>
          </w:p>
        </w:tc>
        <w:tc>
          <w:tcPr>
            <w:tcW w:type="dxa" w:w="35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Previous-year post-flowering stress, carry-over water deficit from prior season</w:t>
            </w:r>
          </w:p>
        </w:tc>
      </w:tr>
      <w:tr>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sw.less.15wp_fl_y0_a20</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Stress days (Sm&lt;1.5×Wp)</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Flowering</w:t>
            </w:r>
          </w:p>
        </w:tc>
        <w:tc>
          <w:tcPr>
            <w:tcW w:type="dxa" w:w="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y0</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20d after prev. yr</w:t>
            </w:r>
          </w:p>
        </w:tc>
        <w:tc>
          <w:tcPr>
            <w:tcW w:type="dxa" w:w="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days</w:t>
            </w:r>
          </w:p>
        </w:tc>
        <w:tc>
          <w:tcPr>
            <w:tcW w:type="dxa" w:w="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Count</w:t>
            </w:r>
          </w:p>
        </w:tc>
        <w:tc>
          <w:tcPr>
            <w:tcW w:type="dxa" w:w="3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Extended previous-year post-flowering stress</w:t>
            </w:r>
          </w:p>
        </w:tc>
      </w:tr>
      <w:tr>
        <w:tc>
          <w:tcPr>
            <w:tcW w:type="dxa" w:w="16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sw.above.09fc_fl_y1_a10</w:t>
            </w:r>
          </w:p>
        </w:tc>
        <w:tc>
          <w:tcPr>
            <w:tcW w:type="dxa" w:w="14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Saturation days (Sm&gt;0.9×Fc)</w:t>
            </w:r>
          </w:p>
        </w:tc>
        <w:tc>
          <w:tcPr>
            <w:tcW w:type="dxa" w:w="9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Flowering</w:t>
            </w:r>
          </w:p>
        </w:tc>
        <w:tc>
          <w:tcPr>
            <w:tcW w:type="dxa" w:w="5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y1</w:t>
            </w:r>
          </w:p>
        </w:tc>
        <w:tc>
          <w:tcPr>
            <w:tcW w:type="dxa" w:w="10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10d after</w:t>
            </w:r>
          </w:p>
        </w:tc>
        <w:tc>
          <w:tcPr>
            <w:tcW w:type="dxa" w:w="5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days</w:t>
            </w:r>
          </w:p>
        </w:tc>
        <w:tc>
          <w:tcPr>
            <w:tcW w:type="dxa" w:w="6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Count</w:t>
            </w:r>
          </w:p>
        </w:tc>
        <w:tc>
          <w:tcPr>
            <w:tcW w:type="dxa" w:w="35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Near-saturation days post-flowering, promote disease and vegetative vigour; relevant to RVV below-trend rules</w:t>
            </w:r>
          </w:p>
        </w:tc>
      </w:tr>
      <w:tr>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sw.above.09fc_fl_y1_a20</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Saturation days (Sm&gt;0.9×Fc)</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Flowering</w:t>
            </w:r>
          </w:p>
        </w:tc>
        <w:tc>
          <w:tcPr>
            <w:tcW w:type="dxa" w:w="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y1</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20d after</w:t>
            </w:r>
          </w:p>
        </w:tc>
        <w:tc>
          <w:tcPr>
            <w:tcW w:type="dxa" w:w="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days</w:t>
            </w:r>
          </w:p>
        </w:tc>
        <w:tc>
          <w:tcPr>
            <w:tcW w:type="dxa" w:w="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Count</w:t>
            </w:r>
          </w:p>
        </w:tc>
        <w:tc>
          <w:tcPr>
            <w:tcW w:type="dxa" w:w="3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Extended near-saturation post-flowering</w:t>
            </w:r>
          </w:p>
        </w:tc>
      </w:tr>
      <w:tr>
        <w:tc>
          <w:tcPr>
            <w:tcW w:type="dxa" w:w="16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sw.above.09fc_fl_y0_a10</w:t>
            </w:r>
          </w:p>
        </w:tc>
        <w:tc>
          <w:tcPr>
            <w:tcW w:type="dxa" w:w="14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Saturation days (Sm&gt;0.9×Fc)</w:t>
            </w:r>
          </w:p>
        </w:tc>
        <w:tc>
          <w:tcPr>
            <w:tcW w:type="dxa" w:w="9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Flowering</w:t>
            </w:r>
          </w:p>
        </w:tc>
        <w:tc>
          <w:tcPr>
            <w:tcW w:type="dxa" w:w="5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y0</w:t>
            </w:r>
          </w:p>
        </w:tc>
        <w:tc>
          <w:tcPr>
            <w:tcW w:type="dxa" w:w="10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10d after prev. yr</w:t>
            </w:r>
          </w:p>
        </w:tc>
        <w:tc>
          <w:tcPr>
            <w:tcW w:type="dxa" w:w="5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days</w:t>
            </w:r>
          </w:p>
        </w:tc>
        <w:tc>
          <w:tcPr>
            <w:tcW w:type="dxa" w:w="6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Count</w:t>
            </w:r>
          </w:p>
        </w:tc>
        <w:tc>
          <w:tcPr>
            <w:tcW w:type="dxa" w:w="35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Previous-year post-flowering soil saturation, carry-over vigour effect identified in RVV Rule 2</w:t>
            </w:r>
          </w:p>
        </w:tc>
      </w:tr>
      <w:tr>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sw.above.09fc_fl_y0_a20</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Saturation days (Sm&gt;0.9×Fc)</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Flowering</w:t>
            </w:r>
          </w:p>
        </w:tc>
        <w:tc>
          <w:tcPr>
            <w:tcW w:type="dxa" w:w="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y0</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20d after prev. yr</w:t>
            </w:r>
          </w:p>
        </w:tc>
        <w:tc>
          <w:tcPr>
            <w:tcW w:type="dxa" w:w="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days</w:t>
            </w:r>
          </w:p>
        </w:tc>
        <w:tc>
          <w:tcPr>
            <w:tcW w:type="dxa" w:w="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Count</w:t>
            </w:r>
          </w:p>
        </w:tc>
        <w:tc>
          <w:tcPr>
            <w:tcW w:type="dxa" w:w="3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Wider window for previous-year post-flowering soil saturation, strongest RVV carry-over signal</w:t>
            </w:r>
          </w:p>
        </w:tc>
      </w:tr>
    </w:tbl>
    <w:p>
      <w:pPr>
        <w:spacing w:after="200" w:before="80"/>
        <w:jc w:val="center"/>
      </w:pPr>
      <w:r>
        <w:rPr>
          <w:rFonts w:ascii="Times New Roman" w:cs="Times New Roman" w:eastAsia="Times New Roman" w:hAnsi="Times New Roman"/>
          <w:i/>
          <w:iCs/>
          <w:sz w:val="20"/>
          <w:szCs w:val="20"/>
        </w:rPr>
        <w:t xml:space="preserve">Table C.6. Soil water availability, stress day (Sm &lt; 1.5×Wp), and saturation day (Sm &gt; 0.9×Fc) features. swa_hv_y1_b20 is the dominant feature in both regions.</w:t>
      </w:r>
    </w:p>
    <w:p>
      <w:pPr>
        <w:spacing w:after="60" w:before="60"/>
      </w:pPr>
      <w:r>
        <w:t xml:space="preserve"/>
      </w:r>
    </w:p>
    <w:sectPr>
      <w:footerReference w:type="default" r:id="rId7"/>
      <w:pgSz w:w="11906" w:h="16838" w:orient="portrait"/>
      <w:pgMar w:top="1440" w:right="120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Times New Roman" w:cs="Times New Roman" w:eastAsia="Times New Roman" w:hAnsi="Times New Roman"/>
      <w:b/>
      <w:bCs/>
      <w:sz w:val="28"/>
      <w:szCs w:val="28"/>
    </w:rPr>
  </w:style>
  <w:style w:type="paragraph" w:styleId="Heading2">
    <w:name w:val="Heading 2"/>
    <w:basedOn w:val="Normal"/>
    <w:next w:val="Normal"/>
    <w:qFormat/>
    <w:pPr>
      <w:spacing w:after="120" w:before="300"/>
      <w:outlineLvl w:val="1"/>
    </w:pPr>
    <w:rPr>
      <w:rFonts w:ascii="Times New Roman" w:cs="Times New Roman" w:eastAsia="Times New Roman" w:hAnsi="Times New Roman"/>
      <w:b/>
      <w:bCs/>
      <w:sz w:val="24"/>
      <w:szCs w:val="24"/>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2026-06-05T08:51:39.945Z</dcterms:created>
  <dcterms:modified xsi:type="dcterms:W3CDTF">2026-06-05T08:51:39.945Z</dcterms:modified>
</cp:coreProperties>
</file>

<file path=docProps/custom.xml><?xml version="1.0" encoding="utf-8"?>
<Properties xmlns="http://schemas.openxmlformats.org/officeDocument/2006/custom-properties" xmlns:vt="http://schemas.openxmlformats.org/officeDocument/2006/docPropsVTypes"/>
</file>