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2"/>
          <w:szCs w:val="32"/>
        </w:rPr>
        <w:t xml:space="preserve">Climate-Phenological Rules for Wine Production Estimation in Portuguese Wine Regions: A Comparative Study of CAREN, RIPPER, and M5Rules</w:t>
      </w:r>
    </w:p>
    <w:p>
      <w:pPr>
        <w:spacing w:after="100" w:before="0"/>
        <w:jc w:val="center"/>
      </w:pPr>
      <w:r>
        <w:rPr>
          <w:rFonts w:ascii="Times New Roman" w:cs="Times New Roman" w:eastAsia="Times New Roman" w:hAnsi="Times New Roman"/>
          <w:b w:val="false"/>
          <w:bCs w:val="false"/>
          <w:sz w:val="22"/>
          <w:szCs w:val="22"/>
        </w:rPr>
        <w:t xml:space="preserve">Hugo Nogueira</w:t>
      </w:r>
    </w:p>
    <w:p>
      <w:pPr>
        <w:spacing w:after="100" w:before="0"/>
        <w:jc w:val="center"/>
      </w:pPr>
      <w:r>
        <w:rPr>
          <w:rFonts w:ascii="Times New Roman" w:cs="Times New Roman" w:eastAsia="Times New Roman" w:hAnsi="Times New Roman"/>
          <w:sz w:val="20"/>
          <w:szCs w:val="20"/>
        </w:rPr>
        <w:t xml:space="preserve">Faculty of Engineering, University of Porto, Porto, Portugal</w:t>
      </w:r>
    </w:p>
    <w:p>
      <w:pPr>
        <w:spacing w:after="300" w:before="0"/>
        <w:jc w:val="center"/>
      </w:pPr>
      <w:r>
        <w:rPr>
          <w:rFonts w:ascii="Times New Roman" w:cs="Times New Roman" w:eastAsia="Times New Roman" w:hAnsi="Times New Roman"/>
          <w:sz w:val="20"/>
          <w:szCs w:val="20"/>
        </w:rPr>
        <w:t xml:space="preserve">hfqnogueira@gmail.com</w:t>
      </w:r>
    </w:p>
    <w:p>
      <w:pPr>
        <w:pBdr>
          <w:bottom w:val="single" w:color="333333" w:sz="4" w:space="1"/>
        </w:pBdr>
        <w:spacing w:after="120" w:before="120"/>
      </w:pPr>
    </w:p>
    <w:p>
      <w:pPr>
        <w:spacing w:after="80" w:before="200"/>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  Annual wine production in Portuguese wine regions is subject to substantial interannual variability driven primarily by climatic conditions during the growing season. Forecasting and explaining this variability requires models that are both accurate and interpretable, so that agronomists and regulatory bodies can act on the discovered knowledge. In this work, we apply three complementary interpretable rule-learning algorithms to two Portuguese Denominacoes de Origem — the Douro region (RDD, 88 years) and the Vinho Verde region (RVV, 80 years) — using a feature set of 60 climate-phenological variables derived from daily meteorological records and vine phenology observations. A linear detrending procedure is consistently applied to isolate climate-driven interannual fluctuations from long-term structural trends. The descriptive algorithm CAREN discovers 48 and 20 statistically significant distribution rules for RDD and RVV, respectively, characterising climate niches associated with above- or below-trend production. The RIPPER classifier produces compact 4-rule decision lists, attaining 42.0% accuracy on RDD and 27.5% on RVV in 10-fold cross-validation. M5Rules constructs piecewise-linear regression models with training R2 of 0.55 (RDD) and 0.58 (RVV), although cross-validation R2 remains near zero owing to the small sample size relative to feature dimensionality. A cross-model feature analysis identifies soil water availability at flowering and mean temperature around that phenological stage as the most consistently selected variables in RVV, whereas RDD shows a more distributed feature importance. The results position CAREN as the primary tool for interpretive knowledge discovery and RIPPER/M5Rules as corroborating predictors.</w:t>
      </w:r>
    </w:p>
    <w:p>
      <w:pPr>
        <w:spacing w:after="80" w:before="8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wine production forecasting, rule-based machine learning, CAREN, RIPPER, M5Rules, phenological features, viticulture, climate data mining</w:t>
      </w:r>
    </w:p>
    <w:p>
      <w:pPr>
        <w:pBdr>
          <w:bottom w:val="single" w:color="333333" w:sz="4" w:space="1"/>
        </w:pBdr>
        <w:spacing w:after="120" w:before="120"/>
      </w:pPr>
    </w:p>
    <w:p>
      <w:pPr>
        <w:spacing w:after="120" w:before="280"/>
      </w:pPr>
      <w:r>
        <w:rPr>
          <w:rFonts w:ascii="Times New Roman" w:cs="Times New Roman" w:eastAsia="Times New Roman" w:hAnsi="Times New Roman"/>
          <w:b/>
          <w:bCs/>
          <w:sz w:val="28"/>
          <w:szCs w:val="28"/>
        </w:rPr>
        <w:t xml:space="preserve">1 Introduction</w:t>
      </w:r>
    </w:p>
    <w:p>
      <w:pPr>
        <w:spacing w:after="120" w:before="280"/>
      </w:pPr>
      <w:r>
        <w:rPr>
          <w:rFonts w:ascii="Times New Roman" w:cs="Times New Roman" w:eastAsia="Times New Roman" w:hAnsi="Times New Roman"/>
          <w:b/>
          <w:bCs/>
          <w:sz w:val="24"/>
          <w:szCs w:val="24"/>
        </w:rPr>
        <w:t xml:space="preserve">1.1 Motivation</w:t>
      </w:r>
    </w:p>
    <w:p>
      <w:pPr>
        <w:spacing w:after="80" w:before="80" w:line="276"/>
        <w:jc w:val="both"/>
      </w:pPr>
      <w:r>
        <w:rPr>
          <w:rFonts w:ascii="Times New Roman" w:cs="Times New Roman" w:eastAsia="Times New Roman" w:hAnsi="Times New Roman"/>
          <w:sz w:val="20"/>
          <w:szCs w:val="20"/>
        </w:rPr>
        <w:t xml:space="preserve">The wine industry is one of the most economically significant segments of Portuguese agriculture. The Douro Demarcated Region (Regiao Demarcada do Douro, RDD) and the Vinho Verde Region (Regiao Vitivinicola Verde, RVV) together account for a substantial share of national wine output and export revenue. Annual production volumes are, however, notoriously variable: multi-year droughts, frost events, or atypical flowering conditions can reduce output by hundreds of thousands of hectoliters in a single season, with cascading effects on producer income, stock management, and regional economic stability.</w:t>
      </w:r>
    </w:p>
    <w:p>
      <w:pPr>
        <w:spacing w:after="80" w:before="80" w:line="276"/>
        <w:jc w:val="both"/>
      </w:pPr>
      <w:r>
        <w:rPr>
          <w:rFonts w:ascii="Times New Roman" w:cs="Times New Roman" w:eastAsia="Times New Roman" w:hAnsi="Times New Roman"/>
          <w:sz w:val="20"/>
          <w:szCs w:val="20"/>
        </w:rPr>
        <w:t xml:space="preserve">Climate change is intensifying this variability. Temperatures across southern and central Europe have been rising at a pace above the global average, bringing an increased frequency of heat waves, altered precipitation regimes, and earlier phenological calendars [1,2]. Under such conditions, the ability to anticipate production levels at the beginning of the growing season — or to explain post hoc why a particular year deviated from expectations — has become operationally valuable both for individual producers and for regulatory bodies such as IVDP and CVR.</w:t>
      </w:r>
    </w:p>
    <w:p>
      <w:pPr>
        <w:spacing w:after="80" w:before="80" w:line="276"/>
        <w:jc w:val="both"/>
      </w:pPr>
      <w:r>
        <w:rPr>
          <w:rFonts w:ascii="Times New Roman" w:cs="Times New Roman" w:eastAsia="Times New Roman" w:hAnsi="Times New Roman"/>
          <w:sz w:val="20"/>
          <w:szCs w:val="20"/>
        </w:rPr>
        <w:t xml:space="preserve">A parallel challenge is interpretability. While deep learning and gradient boosting methods have shown strong predictive performance in agricultural forecasting tasks [3,4], their outputs are opaque to practitioners. Agronomists need to understand which climatic conditions are associated with exceptional vintages, and enologists need actionable thresholds rather than black-box scores. This has motivated renewed interest in rule-based and decision-list methods, which produce human-readable IF-THEN statements that can be directly communicated to non-specialists.</w:t>
      </w:r>
    </w:p>
    <w:p>
      <w:pPr>
        <w:spacing w:after="120" w:before="280"/>
      </w:pPr>
      <w:r>
        <w:rPr>
          <w:rFonts w:ascii="Times New Roman" w:cs="Times New Roman" w:eastAsia="Times New Roman" w:hAnsi="Times New Roman"/>
          <w:b/>
          <w:bCs/>
          <w:sz w:val="24"/>
          <w:szCs w:val="24"/>
        </w:rPr>
        <w:t xml:space="preserve">1.2 Objectives</w:t>
      </w:r>
    </w:p>
    <w:p>
      <w:pPr>
        <w:spacing w:after="80" w:before="80" w:line="276"/>
        <w:jc w:val="both"/>
      </w:pPr>
      <w:r>
        <w:rPr>
          <w:rFonts w:ascii="Times New Roman" w:cs="Times New Roman" w:eastAsia="Times New Roman" w:hAnsi="Times New Roman"/>
          <w:sz w:val="20"/>
          <w:szCs w:val="20"/>
        </w:rPr>
        <w:t xml:space="preserve">This work pursues three primary objectives. First, to design and validate a phenology-anchored feature engineering framework that extracts climate signals relevant to wine production from raw daily meteorological records, using vine developmental stages as temporal anchors for the aggregation windows. Second, to apply and compare three interpretable rule-learning paradigms — CAREN (descriptive distribution rules), RIPPER (classification rule induction), and M5Rules (piecewise-linear regression rules) — on the same detrended target and the same feature pool, enabling a fair multi-model analysis. Third, to identify which climate-phenological variables are consistently selected across methods and datasets, providing a defensible set of explanatory drivers for each region.</w:t>
      </w:r>
    </w:p>
    <w:p>
      <w:pPr>
        <w:spacing w:after="120" w:before="280"/>
      </w:pPr>
      <w:r>
        <w:rPr>
          <w:rFonts w:ascii="Times New Roman" w:cs="Times New Roman" w:eastAsia="Times New Roman" w:hAnsi="Times New Roman"/>
          <w:b/>
          <w:bCs/>
          <w:sz w:val="24"/>
          <w:szCs w:val="24"/>
        </w:rPr>
        <w:t xml:space="preserve">1.3 Contributions and Main Results</w:t>
      </w:r>
    </w:p>
    <w:p>
      <w:pPr>
        <w:spacing w:after="80" w:before="80" w:line="276"/>
        <w:jc w:val="both"/>
      </w:pPr>
      <w:r>
        <w:rPr>
          <w:rFonts w:ascii="Times New Roman" w:cs="Times New Roman" w:eastAsia="Times New Roman" w:hAnsi="Times New Roman"/>
          <w:sz w:val="20"/>
          <w:szCs w:val="20"/>
        </w:rPr>
        <w:t xml:space="preserve">The principal contributions of this paper are as follows:</w:t>
      </w:r>
    </w:p>
    <w:p>
      <w:pPr>
        <w:spacing w:after="80" w:before="80" w:line="276"/>
        <w:ind w:firstLine="360"/>
        <w:jc w:val="both"/>
      </w:pPr>
      <w:r>
        <w:rPr>
          <w:rFonts w:ascii="Times New Roman" w:cs="Times New Roman" w:eastAsia="Times New Roman" w:hAnsi="Times New Roman"/>
          <w:sz w:val="20"/>
          <w:szCs w:val="20"/>
        </w:rPr>
        <w:t xml:space="preserve">(C1) A systematic feature engineering protocol that generates 60 climate-phenological features anchored to six vine developmental stages (bud break, flowering, fruit set, start of maturity, harvest) across both the current and previous growing year, covering temperature, rainfall, leaf area index, and soil water availability.</w:t>
      </w:r>
    </w:p>
    <w:p>
      <w:pPr>
        <w:spacing w:after="80" w:before="80" w:line="276"/>
        <w:ind w:firstLine="360"/>
        <w:jc w:val="both"/>
      </w:pPr>
      <w:r>
        <w:rPr>
          <w:rFonts w:ascii="Times New Roman" w:cs="Times New Roman" w:eastAsia="Times New Roman" w:hAnsi="Times New Roman"/>
          <w:sz w:val="20"/>
          <w:szCs w:val="20"/>
        </w:rPr>
        <w:t xml:space="preserve">(C2) A consistent linear detrending methodology for temporally evolving production targets that prevents era-level confounding in both descriptive rule discovery and predictive cross-validation.</w:t>
      </w:r>
    </w:p>
    <w:p>
      <w:pPr>
        <w:spacing w:after="80" w:before="80" w:line="276"/>
        <w:ind w:firstLine="360"/>
        <w:jc w:val="both"/>
      </w:pPr>
      <w:r>
        <w:rPr>
          <w:rFonts w:ascii="Times New Roman" w:cs="Times New Roman" w:eastAsia="Times New Roman" w:hAnsi="Times New Roman"/>
          <w:sz w:val="20"/>
          <w:szCs w:val="20"/>
        </w:rPr>
        <w:t xml:space="preserve">(C3) A detailed comparative analysis of CAREN, RIPPER, and M5Rules on two small-sample viticulture datasets, demonstrating complementary strengths: CAREN uncovers statistically significant climate niches (best p-value 0.0043 in RDD), RIPPER attains 42% three-class accuracy on RDD, and M5Rules achieves training R2 of 0.55–0.58 while exposing the generalisation limits of the small-sample setting.</w:t>
      </w:r>
    </w:p>
    <w:p>
      <w:pPr>
        <w:spacing w:after="80" w:before="80" w:line="276"/>
        <w:ind w:firstLine="360"/>
        <w:jc w:val="both"/>
      </w:pPr>
      <w:r>
        <w:rPr>
          <w:rFonts w:ascii="Times New Roman" w:cs="Times New Roman" w:eastAsia="Times New Roman" w:hAnsi="Times New Roman"/>
          <w:sz w:val="20"/>
          <w:szCs w:val="20"/>
        </w:rPr>
        <w:t xml:space="preserve">(C4) A cross-model backbone analysis revealing that soil water availability at flowering (swa_fl) and mean temperature around the flowering stage (tm_fl) are the variables most consistently selected by all three algorithms in the Vinho Verde region, while no single feature dominates across all three methods in the Douro region, suggesting a more distributed climate signal there.</w:t>
      </w:r>
    </w:p>
    <w:p>
      <w:pPr>
        <w:spacing w:after="120" w:before="280"/>
      </w:pPr>
      <w:r>
        <w:rPr>
          <w:rFonts w:ascii="Times New Roman" w:cs="Times New Roman" w:eastAsia="Times New Roman" w:hAnsi="Times New Roman"/>
          <w:b/>
          <w:bCs/>
          <w:sz w:val="24"/>
          <w:szCs w:val="24"/>
        </w:rPr>
        <w:t xml:space="preserve">1.4 Paper Organisation</w:t>
      </w:r>
    </w:p>
    <w:p>
      <w:pPr>
        <w:spacing w:after="80" w:before="80" w:line="276"/>
        <w:jc w:val="both"/>
      </w:pPr>
      <w:r>
        <w:rPr>
          <w:rFonts w:ascii="Times New Roman" w:cs="Times New Roman" w:eastAsia="Times New Roman" w:hAnsi="Times New Roman"/>
          <w:sz w:val="20"/>
          <w:szCs w:val="20"/>
        </w:rPr>
        <w:t xml:space="preserve">The remainder of this paper is organised as follows. Section 2 reviews the state of the art in machine learning for viticulture, rule-based methods for small datasets, and the use of phenological information in agricultural modelling. Section 3 describes the proposed methodology, including data preparation, feature engineering, target detrending, and the three rule-learning pipelines. Section 4 presents the experimental setup and a critical analysis of the results, covering rule quality, predictive metrics, and cross-model feature overlap. Section 5 concludes the paper with a summary of findings, a reiteration of the claimed contributions, and directions for future work.</w:t>
      </w:r>
    </w:p>
    <w:p>
      <w:pPr>
        <w:spacing w:after="120" w:before="280"/>
      </w:pPr>
      <w:r>
        <w:rPr>
          <w:rFonts w:ascii="Times New Roman" w:cs="Times New Roman" w:eastAsia="Times New Roman" w:hAnsi="Times New Roman"/>
          <w:b/>
          <w:bCs/>
          <w:sz w:val="28"/>
          <w:szCs w:val="28"/>
        </w:rPr>
        <w:t xml:space="preserve">2 Related Work</w:t>
      </w:r>
    </w:p>
    <w:p>
      <w:pPr>
        <w:spacing w:after="120" w:before="280"/>
      </w:pPr>
      <w:r>
        <w:rPr>
          <w:rFonts w:ascii="Times New Roman" w:cs="Times New Roman" w:eastAsia="Times New Roman" w:hAnsi="Times New Roman"/>
          <w:b/>
          <w:bCs/>
          <w:sz w:val="24"/>
          <w:szCs w:val="24"/>
        </w:rPr>
        <w:t xml:space="preserve">2.1 Machine Learning for Wine and Viticulture</w:t>
      </w:r>
    </w:p>
    <w:p>
      <w:pPr>
        <w:spacing w:after="80" w:before="80" w:line="276"/>
        <w:jc w:val="both"/>
      </w:pPr>
      <w:r>
        <w:rPr>
          <w:rFonts w:ascii="Times New Roman" w:cs="Times New Roman" w:eastAsia="Times New Roman" w:hAnsi="Times New Roman"/>
          <w:sz w:val="20"/>
          <w:szCs w:val="20"/>
        </w:rPr>
        <w:t xml:space="preserve">The application of data-driven methods to viticulture has expanded considerably over the past two decades. Early work focused on quality classification of individual wines using physicochemical attributes measured at bottling [5], demonstrating that even simple decision trees could separate quality classes with reasonable accuracy. More recent studies have shifted toward production forecasting at the regional scale. Cunha et al. [6] combined remote sensing imagery and meteorological station data to predict Vinho Verde yields with random forests, reporting mean absolute errors of the order of 10% of mean production. Fraga et al. [7] evaluated the capacity of bioclimatic indices to explain spatial and temporal production variability across Portuguese wine regions, concluding that thermal accumulation during the growing season is the dominant driver, though its relationship with production is non-monotonic at the highest temperature extremes.</w:t>
      </w:r>
    </w:p>
    <w:p>
      <w:pPr>
        <w:spacing w:after="80" w:before="80" w:line="276"/>
        <w:jc w:val="both"/>
      </w:pPr>
      <w:r>
        <w:rPr>
          <w:rFonts w:ascii="Times New Roman" w:cs="Times New Roman" w:eastAsia="Times New Roman" w:hAnsi="Times New Roman"/>
          <w:sz w:val="20"/>
          <w:szCs w:val="20"/>
        </w:rPr>
        <w:t xml:space="preserve">The challenge common to regional-scale studies is the scarcity of labelled annual observations: official production statistics for demarcated regions typically extend back to the 1930s at best, yielding at most 80–90 data points. This places all modelling approaches firmly in the small-sample regime, where the risk of overfitting is acute and cross-validation variance is high. Several authors have responded by privileging parsimonious models — linear regression [8], regularised regression [9], and decision stumps — over ensemble methods that require larger samples to generalise reliably.</w:t>
      </w:r>
    </w:p>
    <w:p>
      <w:pPr>
        <w:spacing w:after="80" w:before="80" w:line="276"/>
        <w:jc w:val="both"/>
      </w:pPr>
      <w:r>
        <w:rPr>
          <w:rFonts w:ascii="Times New Roman" w:cs="Times New Roman" w:eastAsia="Times New Roman" w:hAnsi="Times New Roman"/>
          <w:sz w:val="20"/>
          <w:szCs w:val="20"/>
        </w:rPr>
        <w:t xml:space="preserve">Beyond production, machine learning has been applied to grape phenology prediction [10], disease risk modelling [11], and individual vine water stress estimation [12]. These adjacent problems share the same core difficulty: the signal of interest is low-frequency (one data point per year), while the causal drivers operate at daily timescales, requiring aggregation strategies that inevitably introduce assumptions about which windows matter.</w:t>
      </w:r>
    </w:p>
    <w:p>
      <w:pPr>
        <w:spacing w:after="120" w:before="280"/>
      </w:pPr>
      <w:r>
        <w:rPr>
          <w:rFonts w:ascii="Times New Roman" w:cs="Times New Roman" w:eastAsia="Times New Roman" w:hAnsi="Times New Roman"/>
          <w:b/>
          <w:bCs/>
          <w:sz w:val="24"/>
          <w:szCs w:val="24"/>
        </w:rPr>
        <w:t xml:space="preserve">2.2 Rule-Based and Interpretable Methods in Agriculture</w:t>
      </w:r>
    </w:p>
    <w:p>
      <w:pPr>
        <w:spacing w:after="80" w:before="80" w:line="276"/>
        <w:jc w:val="both"/>
      </w:pPr>
      <w:r>
        <w:rPr>
          <w:rFonts w:ascii="Times New Roman" w:cs="Times New Roman" w:eastAsia="Times New Roman" w:hAnsi="Times New Roman"/>
          <w:sz w:val="20"/>
          <w:szCs w:val="20"/>
        </w:rPr>
        <w:t xml:space="preserve">Rule induction methods occupy a distinctive position in agricultural modelling because their outputs can be directly communicated to domain experts and incorporated into decision support tools. The RIPPER algorithm (Repeated Incremental Pruning to Produce Error Reduction), proposed by Cohen [13], learns an ordered list of IF-THEN classification rules using a two-phase grow-then-prune strategy. Its practical hyperparameters — the maximum number of optimisation passes (O), the minimum covered instances per rule (N), and the fanning factor (F) — offer explicit control over rule complexity, making it well-suited to small datasets where the risk of memorising noise is high. RIPPER has been applied to agricultural classification tasks including soil horizon identification and crop disease diagnosis, where its compact rule lists have been found easier to validate by specialists than equivalent decision trees.</w:t>
      </w:r>
    </w:p>
    <w:p>
      <w:pPr>
        <w:spacing w:after="80" w:before="80" w:line="276"/>
        <w:jc w:val="both"/>
      </w:pPr>
      <w:r>
        <w:rPr>
          <w:rFonts w:ascii="Times New Roman" w:cs="Times New Roman" w:eastAsia="Times New Roman" w:hAnsi="Times New Roman"/>
          <w:sz w:val="20"/>
          <w:szCs w:val="20"/>
        </w:rPr>
        <w:t xml:space="preserve">M5Rules, introduced by Wang and Witten [14] as an extension of the M5 model tree, induces a regression decision list in which each rule antecedent activates a piecewise-linear model rather than a class label. The resulting rules combine the interpretability of conditions with the continuous expressiveness of linear equations, at the cost of requiring sufficient training instances within each leaf region to estimate stable coefficients. Quinlan [15] showed that model trees outperform regression trees on most UCI regression benchmarks; subsequent work by Frank et al. demonstrated that M5Rules, which uses a separate-and-conquer strategy rather than a top-down tree split, often achieves comparable accuracy with fewer and more readable rules.</w:t>
      </w:r>
    </w:p>
    <w:p>
      <w:pPr>
        <w:spacing w:after="120" w:before="280"/>
      </w:pPr>
      <w:r>
        <w:rPr>
          <w:rFonts w:ascii="Times New Roman" w:cs="Times New Roman" w:eastAsia="Times New Roman" w:hAnsi="Times New Roman"/>
          <w:b/>
          <w:bCs/>
          <w:sz w:val="24"/>
          <w:szCs w:val="24"/>
        </w:rPr>
        <w:t xml:space="preserve">2.3 Association and Distribution Rule Discovery</w:t>
      </w:r>
    </w:p>
    <w:p>
      <w:pPr>
        <w:spacing w:after="80" w:before="80" w:line="276"/>
        <w:jc w:val="both"/>
      </w:pPr>
      <w:r>
        <w:rPr>
          <w:rFonts w:ascii="Times New Roman" w:cs="Times New Roman" w:eastAsia="Times New Roman" w:hAnsi="Times New Roman"/>
          <w:sz w:val="20"/>
          <w:szCs w:val="20"/>
        </w:rPr>
        <w:t xml:space="preserve">Association rule mining [16] was originally designed for market basket analysis but has been adapted extensively to scientific data mining. In the context of exploratory data analysis, the goal is not prediction but sub-group discovery: identifying combinations of attribute-value conditions under which a target variable behaves differently from its marginal distribution. CAREN (Classification Association Rules and Exceptional Neighbourhoods) [17], the algorithm used in this work, extends the classical association rule framework by focusing on rules that induce a statistically significant shift in the distribution of a continuous or ordinal target. Each discovered rule is annotated with a support value (the fraction of instances matching its antecedent), a mean deviation of the target within the matched sub-group, and a p-value from a non-parametric statistical test comparing the matched sub-group distribution to the complement. This framework is well aligned with the exploratory goal of identifying climate niches where production deviates systematically from the long-term trend.</w:t>
      </w:r>
    </w:p>
    <w:p>
      <w:pPr>
        <w:spacing w:after="80" w:before="80" w:line="276"/>
        <w:jc w:val="both"/>
      </w:pPr>
      <w:r>
        <w:rPr>
          <w:rFonts w:ascii="Times New Roman" w:cs="Times New Roman" w:eastAsia="Times New Roman" w:hAnsi="Times New Roman"/>
          <w:sz w:val="20"/>
          <w:szCs w:val="20"/>
        </w:rPr>
        <w:t xml:space="preserve">Sub-group discovery [18] and emerging patterns [19] are related paradigms that have been applied to epidemiological and social science data. In agriculture, analogous techniques have been used to identify soil-type and management combinations associated with above-average crop yields. The distinctive feature of CAREN relative to these approaches is its explicit control over statistical significance, which reduces the risk of discovering spurious associations in the low-observation-count regime characteristic of annual agricultural records.</w:t>
      </w:r>
    </w:p>
    <w:p>
      <w:pPr>
        <w:spacing w:after="120" w:before="280"/>
      </w:pPr>
      <w:r>
        <w:rPr>
          <w:rFonts w:ascii="Times New Roman" w:cs="Times New Roman" w:eastAsia="Times New Roman" w:hAnsi="Times New Roman"/>
          <w:b/>
          <w:bCs/>
          <w:sz w:val="24"/>
          <w:szCs w:val="24"/>
        </w:rPr>
        <w:t xml:space="preserve">2.4 Phenological Features in Viticulture Modelling</w:t>
      </w:r>
    </w:p>
    <w:p>
      <w:pPr>
        <w:spacing w:after="80" w:before="80" w:line="276"/>
        <w:jc w:val="both"/>
      </w:pPr>
      <w:r>
        <w:rPr>
          <w:rFonts w:ascii="Times New Roman" w:cs="Times New Roman" w:eastAsia="Times New Roman" w:hAnsi="Times New Roman"/>
          <w:sz w:val="20"/>
          <w:szCs w:val="20"/>
        </w:rPr>
        <w:t xml:space="preserve">The inclusion of phenological timing as a feature engineering anchor is motivated by the biological reality that the sensitivity of wine yield to climate is not uniform over the calendar year. Temperature and water stress during flowering critically affect berry set and therefore potential yield; heat accumulation during maturation influences sugar loading and colour development; frost events after bud break can cause catastrophic loss of primary buds. Aggregating meteorological variables within phenology-relative windows, rather than fixed calendar windows, has been shown to improve predictive performance in multiple studies [20,21], as it aligns the climate signal with the developmental stage during which it matters most.</w:t>
      </w:r>
    </w:p>
    <w:p>
      <w:pPr>
        <w:spacing w:after="80" w:before="80" w:line="276"/>
        <w:jc w:val="both"/>
      </w:pPr>
      <w:r>
        <w:rPr>
          <w:rFonts w:ascii="Times New Roman" w:cs="Times New Roman" w:eastAsia="Times New Roman" w:hAnsi="Times New Roman"/>
          <w:sz w:val="20"/>
          <w:szCs w:val="20"/>
        </w:rPr>
        <w:t xml:space="preserve">Phenological observations are, however, laborious and costly to collect at scale. For the datasets used in this study, daily observations of bud break, flowering, start of maturity, fruit set, and harvest were available for each year in the record, providing precise temporal anchors for feature construction. This level of detail is unusual in publicly available viticulture datasets, and constitutes a methodological advantage of the present work over studies that rely on fixed calendar windows or degree-day accumulation proxies as substitutes for direct phenological observation.</w:t>
      </w:r>
    </w:p>
    <w:p>
      <w:pPr>
        <w:spacing w:after="80" w:before="80" w:line="276"/>
        <w:jc w:val="both"/>
      </w:pPr>
      <w:r>
        <w:rPr>
          <w:rFonts w:ascii="Times New Roman" w:cs="Times New Roman" w:eastAsia="Times New Roman" w:hAnsi="Times New Roman"/>
          <w:sz w:val="20"/>
          <w:szCs w:val="20"/>
        </w:rPr>
        <w:t xml:space="preserve">The literature reviewed above establishes the need for interpretable, small-sample-capable methods anchored to vine phenology. The present study fills this gap by combining a systematic phenology-based feature engineering protocol with three complementary rule-learning paradigms, applied consistently to two Portuguese wine regions over multi-decade historical records.</w:t>
      </w:r>
    </w:p>
    <w:p>
      <w:pPr>
        <w:spacing w:after="120" w:before="280"/>
      </w:pPr>
      <w:r>
        <w:rPr>
          <w:rFonts w:ascii="Times New Roman" w:cs="Times New Roman" w:eastAsia="Times New Roman" w:hAnsi="Times New Roman"/>
          <w:b/>
          <w:bCs/>
          <w:sz w:val="28"/>
          <w:szCs w:val="28"/>
        </w:rPr>
        <w:t xml:space="preserve">3 Methodology</w:t>
      </w:r>
    </w:p>
    <w:p>
      <w:pPr>
        <w:spacing w:after="120" w:before="280"/>
      </w:pPr>
      <w:r>
        <w:rPr>
          <w:rFonts w:ascii="Times New Roman" w:cs="Times New Roman" w:eastAsia="Times New Roman" w:hAnsi="Times New Roman"/>
          <w:b/>
          <w:bCs/>
          <w:sz w:val="24"/>
          <w:szCs w:val="24"/>
        </w:rPr>
        <w:t xml:space="preserve">3.1 Data Description</w:t>
      </w:r>
    </w:p>
    <w:p>
      <w:pPr>
        <w:spacing w:after="80" w:before="80" w:line="276"/>
        <w:jc w:val="both"/>
      </w:pPr>
      <w:r>
        <w:rPr>
          <w:rFonts w:ascii="Times New Roman" w:cs="Times New Roman" w:eastAsia="Times New Roman" w:hAnsi="Times New Roman"/>
          <w:sz w:val="20"/>
          <w:szCs w:val="20"/>
        </w:rPr>
        <w:t xml:space="preserve">Two datasets covering distinct Portuguese wine regions were used in this study. The Douro Demarcated Region (RDD) dataset spans 1933 to 2022 and comprises 88 annual observations after excluding years with missing phenological records. The Vinho Verde Region (RVV) dataset spans 1941 to 2022 and yields 80 observations after excluding 2022, which was dropped due to incomplete records. For each region, the primary data sources are: (i) daily meteorological records from official weather stations, including maximum temperature (Tmax), minimum temperature (Tmin), mean temperature (Tmean), precipitation (Rain), leaf area index (IAF), and available soil water (Sm); and (ii) annual wine production figures in thousand hectoliters (mhl) provided by the IVDP (Instituto dos Vinhos do Douro e do Porto) for RDD and by the CVR (Comissao de Viticultura da Regiao dos Vinhos Verdes) for RVV. Additionally, day-of-year records for the six main phenological stages — Bud Break (BB), Flowering (FL), Start of Maturity (SM), Fruit Set (FS), and Harvest (HV) — were available for each year in both datasets. The RVV dataset lacks Fruit Set observations, and this stage was therefore excluded from its feature pool.</w:t>
      </w:r>
    </w:p>
    <w:p>
      <w:pPr>
        <w:spacing w:after="120" w:before="280"/>
      </w:pPr>
      <w:r>
        <w:rPr>
          <w:rFonts w:ascii="Times New Roman" w:cs="Times New Roman" w:eastAsia="Times New Roman" w:hAnsi="Times New Roman"/>
          <w:b/>
          <w:bCs/>
          <w:sz w:val="24"/>
          <w:szCs w:val="24"/>
        </w:rPr>
        <w:t xml:space="preserve">3.2 Feature Engineering</w:t>
      </w:r>
    </w:p>
    <w:p>
      <w:pPr>
        <w:spacing w:after="80" w:before="80" w:line="276"/>
        <w:jc w:val="both"/>
      </w:pPr>
      <w:r>
        <w:rPr>
          <w:rFonts w:ascii="Times New Roman" w:cs="Times New Roman" w:eastAsia="Times New Roman" w:hAnsi="Times New Roman"/>
          <w:sz w:val="20"/>
          <w:szCs w:val="20"/>
        </w:rPr>
        <w:t xml:space="preserve">A systematic feature engineering protocol was designed to extract climate signals that are biologically meaningful for grapevine yield formation. Rather than using fixed calendar windows, each meteorological variable was aggregated within time windows anchored to phenological stage dates, reflecting the developmental stage during which the variable is hypothesised to have the greatest influence on production.</w:t>
      </w:r>
    </w:p>
    <w:p>
      <w:pPr>
        <w:spacing w:after="80" w:before="80" w:line="276"/>
        <w:jc w:val="both"/>
      </w:pPr>
      <w:r>
        <w:rPr>
          <w:rFonts w:ascii="Times New Roman" w:cs="Times New Roman" w:eastAsia="Times New Roman" w:hAnsi="Times New Roman"/>
          <w:sz w:val="20"/>
          <w:szCs w:val="20"/>
        </w:rPr>
        <w:t xml:space="preserve">Each feature is identified by a structured naming convention: [variable]_[stage]_[year]_[window], where variable denotes the meteorological quantity (tm = mean temperature, tn = minimum temperature, rf = total rainfall, iaf = leaf area index, swa = available soil water, days.rf.above.1mm = count of wet days, days.maxTemp.above.35 = count of hot days, days.minTemp.less.0 = count of frost days), stage indicates the phenological event (bb = bud break, fl = flowering, sm = start of maturity, hv = harvest), year indicates whether the measurement is from the current growing year (y1) or the previous year (y0), and window specifies the temporal offset and width relative to the phenological date (b10 = 10 days before, a20 = 20 days after, c15 = 15-day centred window). For example, tm_fl_y1_b10 denotes the mean temperature in the 10-day period immediately preceding the flowering date of the current year.</w:t>
      </w:r>
    </w:p>
    <w:p>
      <w:pPr>
        <w:spacing w:after="80" w:before="80" w:line="276"/>
        <w:jc w:val="both"/>
      </w:pPr>
      <w:r>
        <w:rPr>
          <w:rFonts w:ascii="Times New Roman" w:cs="Times New Roman" w:eastAsia="Times New Roman" w:hAnsi="Times New Roman"/>
          <w:sz w:val="20"/>
          <w:szCs w:val="20"/>
        </w:rPr>
        <w:t xml:space="preserve">The full feature pool contains 60 features per observation, covering all combinations of the above dimensions available within the two datasets. Features were computed from scratch for each year by aligning the daily meteorological series with the year-specific phenological dates, ensuring that no future phenological information is leaked into features intended to describe conditions earlier in the growing season.</w:t>
      </w:r>
    </w:p>
    <w:p>
      <w:pPr>
        <w:spacing w:after="120" w:before="280"/>
      </w:pPr>
      <w:r>
        <w:rPr>
          <w:rFonts w:ascii="Times New Roman" w:cs="Times New Roman" w:eastAsia="Times New Roman" w:hAnsi="Times New Roman"/>
          <w:b/>
          <w:bCs/>
          <w:sz w:val="24"/>
          <w:szCs w:val="24"/>
        </w:rPr>
        <w:t xml:space="preserve">3.3 Target Variable Construction and Detrending</w:t>
      </w:r>
    </w:p>
    <w:p>
      <w:pPr>
        <w:spacing w:after="80" w:before="80" w:line="276"/>
        <w:jc w:val="both"/>
      </w:pPr>
      <w:r>
        <w:rPr>
          <w:rFonts w:ascii="Times New Roman" w:cs="Times New Roman" w:eastAsia="Times New Roman" w:hAnsi="Times New Roman"/>
          <w:sz w:val="20"/>
          <w:szCs w:val="20"/>
        </w:rPr>
        <w:t xml:space="preserve">Annual wine production (Wine_mhl) in both regions shows a long-term increasing trend over the observation period, reflecting structural advances in viticulture, vineyard expansion, and improved agronomic practices. If this trend is not removed, models trained on raw production values will partly learn the chronological structure of the data — early years are systematically associated with the Low class and late years with the High class — masking the year-to-year climate signal of interest.</w:t>
      </w:r>
    </w:p>
    <w:p>
      <w:pPr>
        <w:spacing w:after="80" w:before="80" w:line="276"/>
        <w:jc w:val="both"/>
      </w:pPr>
      <w:r>
        <w:rPr>
          <w:rFonts w:ascii="Times New Roman" w:cs="Times New Roman" w:eastAsia="Times New Roman" w:hAnsi="Times New Roman"/>
          <w:sz w:val="20"/>
          <w:szCs w:val="20"/>
        </w:rPr>
        <w:t xml:space="preserve">A linear detrending procedure was therefore applied as a pre-processing step. A linear regression of the form Wine_mhl = alpha + beta * year was fitted, and the residuals — representing the signed deviation of each year from the fitted trend — were used as the effective target throughout all analyses. Positive residuals indicate above-trend production years; negative residuals indicate below-trend years. All class definitions (Low, Medium, High) and all distribution rule targets are therefore defined in residual units, making the categories and distributional patterns comparable across the full temporal range of each dataset.</w:t>
      </w:r>
    </w:p>
    <w:p>
      <w:pPr>
        <w:spacing w:after="80" w:before="80" w:line="276"/>
        <w:jc w:val="both"/>
      </w:pPr>
      <w:r>
        <w:rPr>
          <w:rFonts w:ascii="Times New Roman" w:cs="Times New Roman" w:eastAsia="Times New Roman" w:hAnsi="Times New Roman"/>
          <w:sz w:val="20"/>
          <w:szCs w:val="20"/>
        </w:rPr>
        <w:t xml:space="preserve">In the CAREN descriptive analysis, the trend was fitted on the full dataset, which is appropriate for characterisation rather than prediction. In the RIPPER 10-fold cross-validation, the trend was re-estimated exclusively from the training partition of each fold and applied to both the training and held-out observations, preventing any data leakage from the test set into the target construction. This fold-correct detrending ensures that accuracy and confusion matrix statistics reflect genuine generalisation performance.</w:t>
      </w:r>
    </w:p>
    <w:p>
      <w:pPr>
        <w:spacing w:after="120" w:before="280"/>
      </w:pPr>
      <w:r>
        <w:rPr>
          <w:rFonts w:ascii="Times New Roman" w:cs="Times New Roman" w:eastAsia="Times New Roman" w:hAnsi="Times New Roman"/>
          <w:b/>
          <w:bCs/>
          <w:sz w:val="24"/>
          <w:szCs w:val="24"/>
        </w:rPr>
        <w:t xml:space="preserve">3.4 CAREN: Distribution Rule Discovery</w:t>
      </w:r>
    </w:p>
    <w:p>
      <w:pPr>
        <w:spacing w:after="80" w:before="80" w:line="276"/>
        <w:jc w:val="both"/>
      </w:pPr>
      <w:r>
        <w:rPr>
          <w:rFonts w:ascii="Times New Roman" w:cs="Times New Roman" w:eastAsia="Times New Roman" w:hAnsi="Times New Roman"/>
          <w:sz w:val="20"/>
          <w:szCs w:val="20"/>
        </w:rPr>
        <w:t xml:space="preserve">CAREN discovers rules of the form: IF [conjunction of attribute-value conditions] THEN [distribution of target is significantly different from baseline], where significance is assessed by a statistical test comparing the distribution of residuals within the sub-group defined by the rule antecedent against the distribution in the complementary set. Rules are parameterised by a minimum support threshold (the fraction of instances matching the antecedent) and a maximum p-value threshold. In this study, minimum support was set to 15% and maximum p-value to 0.10, reflecting the trade-off between rule specificity and statistical reliability given datasets of approximately 80–90 observations.</w:t>
      </w:r>
    </w:p>
    <w:p>
      <w:pPr>
        <w:spacing w:after="80" w:before="80" w:line="276"/>
        <w:jc w:val="both"/>
      </w:pPr>
      <w:r>
        <w:rPr>
          <w:rFonts w:ascii="Times New Roman" w:cs="Times New Roman" w:eastAsia="Times New Roman" w:hAnsi="Times New Roman"/>
          <w:sz w:val="20"/>
          <w:szCs w:val="20"/>
        </w:rPr>
        <w:t xml:space="preserve">For each discovered rule, CAREN reports the mean deviation from trend within the matched sub-group (a signed quantity), the standard deviation, the distribution skewness, and the p-value. Rules are sorted by ascending p-value, placing the most statistically robust findings first. The discovered rules are purely descriptive: they do not predict unseen years but characterise the historical relationship between climate niches and production deviations. Feature inputs to CAREN were discretised into intervals using equal-frequency binning prior to rule search, as CAREN operates on categorical attributes.</w:t>
      </w:r>
    </w:p>
    <w:p>
      <w:pPr>
        <w:spacing w:after="120" w:before="280"/>
      </w:pPr>
      <w:r>
        <w:rPr>
          <w:rFonts w:ascii="Times New Roman" w:cs="Times New Roman" w:eastAsia="Times New Roman" w:hAnsi="Times New Roman"/>
          <w:b/>
          <w:bCs/>
          <w:sz w:val="24"/>
          <w:szCs w:val="24"/>
        </w:rPr>
        <w:t xml:space="preserve">3.5 RIPPER: Classification Rule Induction</w:t>
      </w:r>
    </w:p>
    <w:p>
      <w:pPr>
        <w:spacing w:after="80" w:before="80" w:line="276"/>
        <w:jc w:val="both"/>
      </w:pPr>
      <w:r>
        <w:rPr>
          <w:rFonts w:ascii="Times New Roman" w:cs="Times New Roman" w:eastAsia="Times New Roman" w:hAnsi="Times New Roman"/>
          <w:sz w:val="20"/>
          <w:szCs w:val="20"/>
        </w:rPr>
        <w:t xml:space="preserve">RIPPER (implemented as JRip in the Weka library [22]) was applied to classify each year into one of three production classes: Low, Medium, or High, defined by equal-frequency tertile boundaries computed from the detrended residuals of the training partition in each cross-validation fold. Stratified 10-fold cross-validation was used throughout, and the random seed was fixed to 42 for reproducibility.</w:t>
      </w:r>
    </w:p>
    <w:p>
      <w:pPr>
        <w:spacing w:after="80" w:before="80" w:line="276"/>
        <w:jc w:val="both"/>
      </w:pPr>
      <w:r>
        <w:rPr>
          <w:rFonts w:ascii="Times New Roman" w:cs="Times New Roman" w:eastAsia="Times New Roman" w:hAnsi="Times New Roman"/>
          <w:sz w:val="20"/>
          <w:szCs w:val="20"/>
        </w:rPr>
        <w:t xml:space="preserve">The algorithm hyperparameters were set to N = 4 (minimum instances per rule), O = 3 (optimisation passes), and F = 3 (fanning factor). These values were chosen to favour parsimony and reduce overfitting on the small datasets. RIPPER learns an ordered decision list: rules are applied in sequence, and the first matching rule assigns the class; instances not matching any explicit rule are assigned the default class (the most frequent class in the training residual). Model quality was assessed by 10-fold cross-validated accuracy, macro-averaged precision, recall, and F1 score, and the Cohen's kappa statistic.</w:t>
      </w:r>
    </w:p>
    <w:p>
      <w:pPr>
        <w:spacing w:after="120" w:before="280"/>
      </w:pPr>
      <w:r>
        <w:rPr>
          <w:rFonts w:ascii="Times New Roman" w:cs="Times New Roman" w:eastAsia="Times New Roman" w:hAnsi="Times New Roman"/>
          <w:b/>
          <w:bCs/>
          <w:sz w:val="24"/>
          <w:szCs w:val="24"/>
        </w:rPr>
        <w:t xml:space="preserve">3.6 M5Rules: Piecewise-Linear Regression</w:t>
      </w:r>
    </w:p>
    <w:p>
      <w:pPr>
        <w:spacing w:after="80" w:before="80" w:line="276"/>
        <w:jc w:val="both"/>
      </w:pPr>
      <w:r>
        <w:rPr>
          <w:rFonts w:ascii="Times New Roman" w:cs="Times New Roman" w:eastAsia="Times New Roman" w:hAnsi="Times New Roman"/>
          <w:sz w:val="20"/>
          <w:szCs w:val="20"/>
        </w:rPr>
        <w:t xml:space="preserve">M5Rules (Weka implementation) was applied to the continuous detrended residuals (Wine_mhl residuals) as a regression task. The algorithm partitions the instance space into regions using IF-THEN conditions, fitting a smoothed linear model within each region. Model tree pruning was enabled to prevent overfitting. The same 10-fold cross-validation protocol was used, and results were reported in residual units to maintain consistency with CAREN and RIPPER.</w:t>
      </w:r>
    </w:p>
    <w:p>
      <w:pPr>
        <w:spacing w:after="80" w:before="80" w:line="276"/>
        <w:jc w:val="both"/>
      </w:pPr>
      <w:r>
        <w:rPr>
          <w:rFonts w:ascii="Times New Roman" w:cs="Times New Roman" w:eastAsia="Times New Roman" w:hAnsi="Times New Roman"/>
          <w:sz w:val="20"/>
          <w:szCs w:val="20"/>
        </w:rPr>
        <w:t xml:space="preserve">Performance was evaluated by the cross-validated mean absolute error (MAE), root mean squared error (RMSE), and coefficient of determination (R2). A naive baseline (the training mean residual, which equals zero by construction for centred residuals) was used as a reference, with its MAE computed on the training set to provide a lower-bound reference for model improvement over trivial prediction.</w:t>
      </w:r>
    </w:p>
    <w:p>
      <w:pPr>
        <w:spacing w:after="120" w:before="280"/>
      </w:pPr>
      <w:r>
        <w:rPr>
          <w:rFonts w:ascii="Times New Roman" w:cs="Times New Roman" w:eastAsia="Times New Roman" w:hAnsi="Times New Roman"/>
          <w:b/>
          <w:bCs/>
          <w:sz w:val="24"/>
          <w:szCs w:val="24"/>
        </w:rPr>
        <w:t xml:space="preserve">3.7 Evaluation Framework</w:t>
      </w:r>
    </w:p>
    <w:p>
      <w:pPr>
        <w:spacing w:after="80" w:before="80" w:line="276"/>
        <w:jc w:val="both"/>
      </w:pPr>
      <w:r>
        <w:rPr>
          <w:rFonts w:ascii="Times New Roman" w:cs="Times New Roman" w:eastAsia="Times New Roman" w:hAnsi="Times New Roman"/>
          <w:sz w:val="20"/>
          <w:szCs w:val="20"/>
        </w:rPr>
        <w:t xml:space="preserve">The three algorithms address different tasks (distribution discovery, classification, regression) and are therefore evaluated by different metrics. For CAREN, quality is assessed by the support and p-value of each rule, and by the magnitude of the mean deviation from trend within the matched sub-group. For RIPPER, the primary metrics are accuracy and macro-averaged F1 (which treats all three classes equally, regardless of their frequency). For M5Rules, the primary metric is the cross-validated R2; the training R2 is also reported to quantify the degree of overfitting. In addition, a cross-model feature overlap analysis is performed for each region to identify variables selected by at least two of the three algorithms, which constitute the most defensible explanatory signals.</w:t>
      </w:r>
    </w:p>
    <w:p>
      <w:pPr>
        <w:spacing w:after="120" w:before="280"/>
      </w:pPr>
      <w:r>
        <w:rPr>
          <w:rFonts w:ascii="Times New Roman" w:cs="Times New Roman" w:eastAsia="Times New Roman" w:hAnsi="Times New Roman"/>
          <w:b/>
          <w:bCs/>
          <w:sz w:val="28"/>
          <w:szCs w:val="28"/>
        </w:rPr>
        <w:t xml:space="preserve">4 Experiments and Results</w:t>
      </w:r>
    </w:p>
    <w:p>
      <w:pPr>
        <w:spacing w:after="120" w:before="280"/>
      </w:pPr>
      <w:r>
        <w:rPr>
          <w:rFonts w:ascii="Times New Roman" w:cs="Times New Roman" w:eastAsia="Times New Roman" w:hAnsi="Times New Roman"/>
          <w:b/>
          <w:bCs/>
          <w:sz w:val="24"/>
          <w:szCs w:val="24"/>
        </w:rPr>
        <w:t xml:space="preserve">4.1 Dataset Overview and Experimental Setup</w:t>
      </w:r>
    </w:p>
    <w:p>
      <w:pPr>
        <w:spacing w:after="80" w:before="80" w:line="276"/>
        <w:jc w:val="both"/>
      </w:pPr>
      <w:r>
        <w:rPr>
          <w:rFonts w:ascii="Times New Roman" w:cs="Times New Roman" w:eastAsia="Times New Roman" w:hAnsi="Times New Roman"/>
          <w:sz w:val="20"/>
          <w:szCs w:val="20"/>
        </w:rPr>
        <w:t xml:space="preserve">Table 1 summarises the key statistics of the two datasets after preprocessing and feature engineering. Production values span a substantially wider range in RVV than in RDD, reflecting the larger total vineyard area and higher absolute output levels of the Vinho Verde designation. After linear detrending, the residuals in both regions are approximately centred at zero; the standard deviation of residuals is 239 mhl for RDD and 544 mhl for RVV, and the class boundaries (Low/Medium/High tertiles) are listed in Table 1.</w:t>
      </w:r>
    </w:p>
    <w:p>
      <w:pPr>
        <w:spacing w:after="60" w:before="120"/>
      </w:pPr>
      <w:r>
        <w:rPr>
          <w:rFonts w:ascii="Times New Roman" w:cs="Times New Roman" w:eastAsia="Times New Roman" w:hAnsi="Times New Roman"/>
          <w:b w:val="false"/>
          <w:bCs w:val="false"/>
          <w:sz w:val="18"/>
          <w:szCs w:val="18"/>
        </w:rPr>
        <w:t xml:space="preserve">Table 1. Summary of the two datasets after linear detrending.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738"/>
      </w:tblGrid>
      <w:tr>
        <w:tc>
          <w:tcPr>
            <w:tcW w:type="dxa" w:w="2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Property</w:t>
            </w:r>
          </w:p>
        </w:tc>
        <w:tc>
          <w:tcPr>
            <w:tcW w:type="dxa" w:w="19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RDD (Douro)</w:t>
            </w:r>
          </w:p>
        </w:tc>
        <w:tc>
          <w:tcPr>
            <w:tcW w:type="dxa" w:w="19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RVV (Vinho Verde)</w:t>
            </w:r>
          </w:p>
        </w:tc>
        <w:tc>
          <w:tcPr>
            <w:tcW w:type="dxa" w:w="19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Unit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Observation period</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1933–2022</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1941–2022</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year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Observations (after exclusions)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88</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80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years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Mean production</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672.3</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1718.7</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mhl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Std. dev. production (raw)</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127.5</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581.2</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mhl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Residual std. dev. (detrended)</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239.4</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544.4</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mhl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Low/Medium threshold</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-457 / -141</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-1442 / -220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mhl (residual)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Medium/High threshold</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93 / 757</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120 / 1611</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mhl (residual)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Feature pool size</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60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60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features</w:t>
            </w:r>
          </w:p>
        </w:tc>
      </w:tr>
    </w:tbl>
    <w:p>
      <w:pPr>
        <w:spacing w:after="200" w:before="0"/>
      </w:pPr>
    </w:p>
    <w:p>
      <w:pPr>
        <w:spacing w:after="80" w:before="80" w:line="276"/>
        <w:jc w:val="both"/>
      </w:pPr>
      <w:r>
        <w:rPr>
          <w:rFonts w:ascii="Times New Roman" w:cs="Times New Roman" w:eastAsia="Times New Roman" w:hAnsi="Times New Roman"/>
          <w:sz w:val="20"/>
          <w:szCs w:val="20"/>
        </w:rPr>
        <w:t xml:space="preserve">All experiments were conducted in R (version 4.3), using the RWeka package for RIPPER and M5Rules, the CarenR package [17] for distribution rule discovery, and a custom pipeline script (run_all_pipelines.R) to ensure consistent detrending and cross-validation configuration across all three algorithms. The random seed was set to 42 in all stochastic components.</w:t>
      </w:r>
    </w:p>
    <w:p>
      <w:pPr>
        <w:spacing w:after="120" w:before="280"/>
      </w:pPr>
      <w:r>
        <w:rPr>
          <w:rFonts w:ascii="Times New Roman" w:cs="Times New Roman" w:eastAsia="Times New Roman" w:hAnsi="Times New Roman"/>
          <w:b/>
          <w:bCs/>
          <w:sz w:val="24"/>
          <w:szCs w:val="24"/>
        </w:rPr>
        <w:t xml:space="preserve">4.2 CAREN Distribution Rules</w:t>
      </w:r>
    </w:p>
    <w:p>
      <w:pPr>
        <w:spacing w:after="80" w:before="80" w:line="276"/>
        <w:jc w:val="both"/>
      </w:pPr>
      <w:r>
        <w:rPr>
          <w:rFonts w:ascii="Times New Roman" w:cs="Times New Roman" w:eastAsia="Times New Roman" w:hAnsi="Times New Roman"/>
          <w:sz w:val="20"/>
          <w:szCs w:val="20"/>
        </w:rPr>
        <w:t xml:space="preserve">CAREN discovered 48 statistically significant distribution rules for RDD and 20 for RVV, at a minimum support of 15% and a maximum p-value of 0.10. The smaller number of rules in RVV is consistent with the higher interannual variability in that region (larger residual standard deviation), which makes it harder to form tight, statistically coherent sub-groups.</w:t>
      </w:r>
    </w:p>
    <w:p>
      <w:pPr>
        <w:spacing w:after="80" w:before="80" w:line="276"/>
        <w:jc w:val="both"/>
      </w:pPr>
      <w:r>
        <w:rPr>
          <w:rFonts w:ascii="Times New Roman" w:cs="Times New Roman" w:eastAsia="Times New Roman" w:hAnsi="Times New Roman"/>
          <w:sz w:val="20"/>
          <w:szCs w:val="20"/>
        </w:rPr>
        <w:t xml:space="preserve">Tables 2 and 3 list the five most significant rules (by p-value) for each region. Each rule identifies a climate niche — a conjunction of conditions on phenological features — in which production deviates systematically from the long-term trend, together with the estimated mean deviation and its statistical confidence.</w:t>
      </w:r>
    </w:p>
    <w:p>
      <w:pPr>
        <w:spacing w:after="60" w:before="120"/>
      </w:pPr>
      <w:r>
        <w:rPr>
          <w:rFonts w:ascii="Times New Roman" w:cs="Times New Roman" w:eastAsia="Times New Roman" w:hAnsi="Times New Roman"/>
          <w:b w:val="false"/>
          <w:bCs w:val="false"/>
          <w:sz w:val="18"/>
          <w:szCs w:val="18"/>
        </w:rPr>
        <w:t xml:space="preserve">Table 2. Top five CAREN distribution rules for RDD (Douro region), sorted by ascending p-value.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
        <w:gridCol w:w="3600"/>
        <w:gridCol w:w="1050"/>
        <w:gridCol w:w="1300"/>
        <w:gridCol w:w="1328"/>
        <w:gridCol w:w="1500"/>
      </w:tblGrid>
      <w:tr>
        <w:tc>
          <w:tcPr>
            <w:tcW w:type="dxa" w:w="46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w:t>
            </w:r>
          </w:p>
        </w:tc>
        <w:tc>
          <w:tcPr>
            <w:tcW w:type="dxa" w:w="3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Conditions</w:t>
            </w:r>
          </w:p>
        </w:tc>
        <w:tc>
          <w:tcPr>
            <w:tcW w:type="dxa" w:w="105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Support</w:t>
            </w:r>
          </w:p>
        </w:tc>
        <w:tc>
          <w:tcPr>
            <w:tcW w:type="dxa" w:w="13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Deviation (mhl)</w:t>
            </w:r>
          </w:p>
        </w:tc>
        <w:tc>
          <w:tcPr>
            <w:tcW w:type="dxa" w:w="132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Direction</w:t>
            </w:r>
          </w:p>
        </w:tc>
        <w:tc>
          <w:tcPr>
            <w:tcW w:type="dxa" w:w="15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p-value</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1</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Wet days after FL (a20) in [0, 3.33); wet days after SM (a20) in [0, 3.46)</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28.1%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+121.2</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ABOVE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0.0043</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2</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IAF after FL (a10) in [0.739, 0.878); SWA after FL (a30) in [390, 404]</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20.2%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-131.3</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BELOW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0.0084</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3</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Wet days after FL (a20) in [0, 3.33); wet days after SM (a20) in [0, 3.46); hot days after FL (a10) in [0, 0.643)</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25.8%</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+112.8</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ABOVE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0.0089</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4</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SWA before HV (b20) in [74.2, 101); wet days after HV prev. year (a10) in [0, 2.27); wet days after SM (a20) in [0, 3.46)</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21.3%</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+192.4</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ABOVE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0.0095</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5</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Wet days after FL (a20) in [0, 3.33); hot days before SM (b20) in [0, 3.66)</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24.7%</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+114.6</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ABOVE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0.0110</w:t>
            </w:r>
          </w:p>
        </w:tc>
      </w:tr>
    </w:tbl>
    <w:p>
      <w:pPr>
        <w:spacing w:after="200" w:before="0"/>
      </w:pPr>
    </w:p>
    <w:p>
      <w:pPr>
        <w:spacing w:after="60" w:before="120"/>
      </w:pPr>
      <w:r>
        <w:rPr>
          <w:rFonts w:ascii="Times New Roman" w:cs="Times New Roman" w:eastAsia="Times New Roman" w:hAnsi="Times New Roman"/>
          <w:b w:val="false"/>
          <w:bCs w:val="false"/>
          <w:sz w:val="18"/>
          <w:szCs w:val="18"/>
        </w:rPr>
        <w:t xml:space="preserve">Table 3. Top five CAREN distribution rules for RVV (Vinho Verde region), sorted by ascending p-value.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
        <w:gridCol w:w="3600"/>
        <w:gridCol w:w="1050"/>
        <w:gridCol w:w="1300"/>
        <w:gridCol w:w="1328"/>
        <w:gridCol w:w="1500"/>
      </w:tblGrid>
      <w:tr>
        <w:tc>
          <w:tcPr>
            <w:tcW w:type="dxa" w:w="46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w:t>
            </w:r>
          </w:p>
        </w:tc>
        <w:tc>
          <w:tcPr>
            <w:tcW w:type="dxa" w:w="3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Conditions</w:t>
            </w:r>
          </w:p>
        </w:tc>
        <w:tc>
          <w:tcPr>
            <w:tcW w:type="dxa" w:w="105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Support</w:t>
            </w:r>
          </w:p>
        </w:tc>
        <w:tc>
          <w:tcPr>
            <w:tcW w:type="dxa" w:w="13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Deviation (mhl)</w:t>
            </w:r>
          </w:p>
        </w:tc>
        <w:tc>
          <w:tcPr>
            <w:tcW w:type="dxa" w:w="132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Direction</w:t>
            </w:r>
          </w:p>
        </w:tc>
        <w:tc>
          <w:tcPr>
            <w:tcW w:type="dxa" w:w="15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p-value</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1</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SWA before HV (b20) in [61.5, 97); hot days before SM (b20) in [0, 1.91); hot days after SM (a20) in [0, 2.37); hot days after FL (a20) in [0, 1.14)</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21.2%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-337.5</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BELOW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0.0198</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2</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Tmean centred FL (c15) in [13.8, 17.1); Tmean after FL (a10) in [12.6, 17.5); SW above 90% FC after FL prev. year (a20) in [17.5, 20]</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21.2%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-267.6</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BELOW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0.0216</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3</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SWA after FL (a15) in [143, 234]; hot days after SM (a20) in [0, 2.37)</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27.5%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-365.4</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BELOW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0.0294</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4</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Tmean after BB prev. year (a30) in [11.2, 13.5); cold days centred FL (c15) in [0, 3.4); hot days after FL (a20) in [0, 1.14)</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25.0%</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+310.8</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ABOVE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0.0298</w:t>
            </w:r>
          </w:p>
        </w:tc>
      </w:tr>
      <w:tr>
        <w:tc>
          <w:tcPr>
            <w:tcW w:type="dxa" w:w="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5</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Tmean after FL (a10) in [12.6, 17.5); hot days after SM (a20) in [0, 2.37); SW above 90% FC after FL prev. year (a20) in [17.5, 20]</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23.8%</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-292.4</w:t>
            </w:r>
          </w:p>
        </w:tc>
        <w:tc>
          <w:tcPr>
            <w:tcW w:type="dxa" w:w="132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BELOW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0.0299</w:t>
            </w:r>
          </w:p>
        </w:tc>
      </w:tr>
    </w:tbl>
    <w:p>
      <w:pPr>
        <w:spacing w:after="200" w:before="0"/>
      </w:pPr>
    </w:p>
    <w:p>
      <w:pPr>
        <w:spacing w:after="80" w:before="80" w:line="276"/>
        <w:jc w:val="both"/>
      </w:pPr>
      <w:r>
        <w:rPr>
          <w:rFonts w:ascii="Times New Roman" w:cs="Times New Roman" w:eastAsia="Times New Roman" w:hAnsi="Times New Roman"/>
          <w:sz w:val="20"/>
          <w:szCs w:val="20"/>
        </w:rPr>
        <w:t xml:space="preserve">Several noteworthy patterns emerge from the CAREN rules. In the Douro region, the most significant rules are dominated by two types of conditions: a low count of wet days in the weeks after flowering and the start of maturity, and a moderate pre-harvest soil water availability. The combination of dry post-flowering conditions (fewer than 3.33 wet days in a 20-day window) with dry post-maturity conditions is the strongest above-trend signal (Rule 1, p = 0.0043, +121 mhl), replicated across multiple refinements of the rule in subsequent entries. This pattern is consistent with the viticultural understanding that excessive rainfall at flowering disrupts pollination and berry set, while low soil water during maturation concentrates sugars and promotes full ripening without dilution.</w:t>
      </w:r>
    </w:p>
    <w:p>
      <w:pPr>
        <w:spacing w:after="80" w:before="80" w:line="276"/>
        <w:jc w:val="both"/>
      </w:pPr>
      <w:r>
        <w:rPr>
          <w:rFonts w:ascii="Times New Roman" w:cs="Times New Roman" w:eastAsia="Times New Roman" w:hAnsi="Times New Roman"/>
          <w:sz w:val="20"/>
          <w:szCs w:val="20"/>
        </w:rPr>
        <w:t xml:space="preserve">In the Vinho Verde region, the direction is predominantly below-trend: 16 of the 20 discovered rules correspond to below-trend production, compared to only 4 above-trend rules. This asymmetry may reflect the historically increasing production trend in the RVV region, which means that the detrended residuals are more frequently negative (i.e., production is below the rising trend line) in years with atypical climate. The strongest below-trend rules are associated with relatively high soil water availability at flowering (SWA after FL in [143, 234] mm) combined with the absence of extreme heat events — a combination that may indicate cool, wet conditions reducing photosynthetic efficiency and delaying full ripening. The strongest above-trend rule (Rule 4, p = 0.0298, +310.8 mhl) requires moderately cool conditions at bud break in the previous year and an absence of heat extremes during flowering in the current year, suggesting that carryover effects from the previous season influence subsequent production.</w:t>
      </w:r>
    </w:p>
    <w:p>
      <w:pPr>
        <w:spacing w:after="120" w:before="280"/>
      </w:pPr>
      <w:r>
        <w:rPr>
          <w:rFonts w:ascii="Times New Roman" w:cs="Times New Roman" w:eastAsia="Times New Roman" w:hAnsi="Times New Roman"/>
          <w:b/>
          <w:bCs/>
          <w:sz w:val="24"/>
          <w:szCs w:val="24"/>
        </w:rPr>
        <w:t xml:space="preserve">4.3 RIPPER Classification Rules</w:t>
      </w:r>
    </w:p>
    <w:p>
      <w:pPr>
        <w:spacing w:after="80" w:before="80" w:line="276"/>
        <w:jc w:val="both"/>
      </w:pPr>
      <w:r>
        <w:rPr>
          <w:rFonts w:ascii="Times New Roman" w:cs="Times New Roman" w:eastAsia="Times New Roman" w:hAnsi="Times New Roman"/>
          <w:sz w:val="20"/>
          <w:szCs w:val="20"/>
        </w:rPr>
        <w:t xml:space="preserve">RIPPER produced 4-rule decision lists (3 explicit rules plus a default rule) for both regions. Tables 4 and 5 present the discovered rules and their individual performance statistics. Table 6 summarises the cross-validated classification metrics.</w:t>
      </w:r>
    </w:p>
    <w:p>
      <w:pPr>
        <w:spacing w:after="60" w:before="120"/>
      </w:pPr>
      <w:r>
        <w:rPr>
          <w:rFonts w:ascii="Times New Roman" w:cs="Times New Roman" w:eastAsia="Times New Roman" w:hAnsi="Times New Roman"/>
          <w:b w:val="false"/>
          <w:bCs w:val="false"/>
          <w:sz w:val="18"/>
          <w:szCs w:val="18"/>
        </w:rPr>
        <w:t xml:space="preserve">Table 4. RIPPER decision list for RDD (Douro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1350"/>
        <w:gridCol w:w="1300"/>
        <w:gridCol w:w="1208"/>
      </w:tblGrid>
      <w:tr>
        <w:tc>
          <w:tcPr>
            <w:tcW w:type="dxa" w:w="38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w:t>
            </w:r>
          </w:p>
        </w:tc>
        <w:tc>
          <w:tcPr>
            <w:tcW w:type="dxa" w:w="4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IF condition</w:t>
            </w:r>
          </w:p>
        </w:tc>
        <w:tc>
          <w:tcPr>
            <w:tcW w:type="dxa" w:w="135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THEN class</w:t>
            </w:r>
          </w:p>
        </w:tc>
        <w:tc>
          <w:tcPr>
            <w:tcW w:type="dxa" w:w="13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Covered</w:t>
            </w:r>
          </w:p>
        </w:tc>
        <w:tc>
          <w:tcPr>
            <w:tcW w:type="dxa" w:w="120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Errors</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tm_hv_y1_c10 in [21.17, 22.80]</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Medium</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19</w:t>
            </w:r>
          </w:p>
        </w:tc>
        <w:tc>
          <w:tcPr>
            <w:tcW w:type="dxa" w:w="12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5</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2</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iaf_bb_y1_c10 &gt;= 0.001565 AND tm_hv_y1_b20 &gt;= 23.10</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High</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17</w:t>
            </w:r>
          </w:p>
        </w:tc>
        <w:tc>
          <w:tcPr>
            <w:tcW w:type="dxa" w:w="12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4</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days_less15_fl_y1_b15 &lt;= 3 AND tm_hv_y1_b20 &lt;= 21.30</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High</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6</w:t>
            </w:r>
          </w:p>
        </w:tc>
        <w:tc>
          <w:tcPr>
            <w:tcW w:type="dxa" w:w="12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Default</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(otherwise)</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Low</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46</w:t>
            </w:r>
          </w:p>
        </w:tc>
        <w:tc>
          <w:tcPr>
            <w:tcW w:type="dxa" w:w="12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20</w:t>
            </w:r>
          </w:p>
        </w:tc>
      </w:tr>
    </w:tbl>
    <w:p>
      <w:pPr>
        <w:spacing w:after="200" w:before="0"/>
      </w:pPr>
    </w:p>
    <w:p>
      <w:pPr>
        <w:spacing w:after="60" w:before="120"/>
      </w:pPr>
      <w:r>
        <w:rPr>
          <w:rFonts w:ascii="Times New Roman" w:cs="Times New Roman" w:eastAsia="Times New Roman" w:hAnsi="Times New Roman"/>
          <w:b w:val="false"/>
          <w:bCs w:val="false"/>
          <w:sz w:val="18"/>
          <w:szCs w:val="18"/>
        </w:rPr>
        <w:t xml:space="preserve">Table 5. RIPPER decision list for RVV (Vinho Verde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1350"/>
        <w:gridCol w:w="1300"/>
        <w:gridCol w:w="1208"/>
      </w:tblGrid>
      <w:tr>
        <w:tc>
          <w:tcPr>
            <w:tcW w:type="dxa" w:w="38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w:t>
            </w:r>
          </w:p>
        </w:tc>
        <w:tc>
          <w:tcPr>
            <w:tcW w:type="dxa" w:w="4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IF condition</w:t>
            </w:r>
          </w:p>
        </w:tc>
        <w:tc>
          <w:tcPr>
            <w:tcW w:type="dxa" w:w="135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THEN class</w:t>
            </w:r>
          </w:p>
        </w:tc>
        <w:tc>
          <w:tcPr>
            <w:tcW w:type="dxa" w:w="13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Covered</w:t>
            </w:r>
          </w:p>
        </w:tc>
        <w:tc>
          <w:tcPr>
            <w:tcW w:type="dxa" w:w="120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Errors</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iaf_fl_y0_a10 &gt;= 2.405 AND tm_bb_y0_a30 &gt;= 13.34 AND rf_fl_y1_a10 &lt;= 15.9</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Medium</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13</w:t>
            </w:r>
          </w:p>
        </w:tc>
        <w:tc>
          <w:tcPr>
            <w:tcW w:type="dxa" w:w="12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2</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tm_fl_y1_b10 &gt;= 19.26 AND iaf_fl_y1_b10 &gt;= 2.204</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Medium</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9</w:t>
            </w:r>
          </w:p>
        </w:tc>
        <w:tc>
          <w:tcPr>
            <w:tcW w:type="dxa" w:w="12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swa_fl_y1_a30 &lt;= 123.56 AND tm_fl_y1_c15 &gt;= 16.61</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High</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21</w:t>
            </w:r>
          </w:p>
        </w:tc>
        <w:tc>
          <w:tcPr>
            <w:tcW w:type="dxa" w:w="12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3</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Default</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(otherwise)</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Low</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37</w:t>
            </w:r>
          </w:p>
        </w:tc>
        <w:tc>
          <w:tcPr>
            <w:tcW w:type="dxa" w:w="12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12</w:t>
            </w:r>
          </w:p>
        </w:tc>
      </w:tr>
    </w:tbl>
    <w:p>
      <w:pPr>
        <w:spacing w:after="200" w:before="0"/>
      </w:pPr>
    </w:p>
    <w:p>
      <w:pPr>
        <w:spacing w:after="60" w:before="120"/>
      </w:pPr>
      <w:r>
        <w:rPr>
          <w:rFonts w:ascii="Times New Roman" w:cs="Times New Roman" w:eastAsia="Times New Roman" w:hAnsi="Times New Roman"/>
          <w:b w:val="false"/>
          <w:bCs w:val="false"/>
          <w:sz w:val="18"/>
          <w:szCs w:val="18"/>
        </w:rPr>
        <w:t xml:space="preserve">Table 6. Cross-validated classification metrics for RIPPER (10-fold stratified CV).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1238"/>
      </w:tblGrid>
      <w:tr>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Region</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Accuracy</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Macro Prec.</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Macro Recall</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Macro F1</w:t>
            </w:r>
          </w:p>
        </w:tc>
        <w:tc>
          <w:tcPr>
            <w:tcW w:type="dxa" w:w="123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Kappa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RDD (Douro)</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0.4205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0.4145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0.4184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0.4039</w:t>
            </w:r>
          </w:p>
        </w:tc>
        <w:tc>
          <w:tcPr>
            <w:tcW w:type="dxa" w:w="12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0.128</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RVV (Vinho Verde)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0.2750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0.2492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0.2726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0.2561</w:t>
            </w:r>
          </w:p>
        </w:tc>
        <w:tc>
          <w:tcPr>
            <w:tcW w:type="dxa" w:w="12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-0.090</w:t>
            </w:r>
          </w:p>
        </w:tc>
      </w:tr>
    </w:tbl>
    <w:p>
      <w:pPr>
        <w:spacing w:after="200" w:before="0"/>
      </w:pPr>
    </w:p>
    <w:p>
      <w:pPr>
        <w:spacing w:after="80" w:before="80" w:line="276"/>
        <w:jc w:val="both"/>
      </w:pPr>
      <w:r>
        <w:rPr>
          <w:rFonts w:ascii="Times New Roman" w:cs="Times New Roman" w:eastAsia="Times New Roman" w:hAnsi="Times New Roman"/>
          <w:sz w:val="20"/>
          <w:szCs w:val="20"/>
        </w:rPr>
        <w:t xml:space="preserve">The RIPPER rules are interpretable and parsimonious. For the Douro region, the key predictor in two of the three explicit rules is the mean temperature in the harvest-period window (tm_hv_y1), entering either as a centred 10-day window or as a 20-day pre-harvest window. Rule 3 for RDD achieves 100% precision on its training coverage (6 instances, 0 errors), identifying a niche of low cold-day incidence before flowering combined with moderate pre-harvest temperatures that is perfectly associated with above-trend production. This precision must be interpreted cautiously given the small rule coverage, but it is consistent with Rule 3 from the CAREN analysis in identifying pre-flowering thermal conditions as relevant.</w:t>
      </w:r>
    </w:p>
    <w:p>
      <w:pPr>
        <w:spacing w:after="80" w:before="80" w:line="276"/>
        <w:jc w:val="both"/>
      </w:pPr>
      <w:r>
        <w:rPr>
          <w:rFonts w:ascii="Times New Roman" w:cs="Times New Roman" w:eastAsia="Times New Roman" w:hAnsi="Times New Roman"/>
          <w:sz w:val="20"/>
          <w:szCs w:val="20"/>
        </w:rPr>
        <w:t xml:space="preserve">For the Vinho Verde region, the two Medium-class rules exhibit high precision on training (92.3% for Rule 1 and 88.9% for Rule 2), combining previous-year leaf area index and thermal conditions at bud break or pre-flowering. Rule 3 predicts the High class when soil water availability at 30 days after flowering is low (below 123.6 mm) and mean temperature around flowering is above 16.6 degrees C — a combination consistent with water-stressed, warm conditions that may limit vegetative growth but allow good fruit development in this Atlantic-influenced region.</w:t>
      </w:r>
    </w:p>
    <w:p>
      <w:pPr>
        <w:spacing w:after="80" w:before="80" w:line="276"/>
        <w:jc w:val="both"/>
      </w:pPr>
      <w:r>
        <w:rPr>
          <w:rFonts w:ascii="Times New Roman" w:cs="Times New Roman" w:eastAsia="Times New Roman" w:hAnsi="Times New Roman"/>
          <w:sz w:val="20"/>
          <w:szCs w:val="20"/>
        </w:rPr>
        <w:t xml:space="preserve">The cross-validated accuracy of 42.1% for RDD represents a meaningful improvement over a random baseline (33.3% for a three-class problem) but falls short of the performance that would be required for operational forecasting. The negative kappa for RVV (-0.090) indicates that the cross-validated RIPPER model performs slightly below a no-information classifier on that dataset, reflecting the difficulty of generalising the discovered rules to held-out years in a region with high interannual variability and only 80 observations.</w:t>
      </w:r>
    </w:p>
    <w:p>
      <w:pPr>
        <w:spacing w:after="120" w:before="280"/>
      </w:pPr>
      <w:r>
        <w:rPr>
          <w:rFonts w:ascii="Times New Roman" w:cs="Times New Roman" w:eastAsia="Times New Roman" w:hAnsi="Times New Roman"/>
          <w:b/>
          <w:bCs/>
          <w:sz w:val="24"/>
          <w:szCs w:val="24"/>
        </w:rPr>
        <w:t xml:space="preserve">4.4 M5Rules Regression Rules</w:t>
      </w:r>
    </w:p>
    <w:p>
      <w:pPr>
        <w:spacing w:after="80" w:before="80" w:line="276"/>
        <w:jc w:val="both"/>
      </w:pPr>
      <w:r>
        <w:rPr>
          <w:rFonts w:ascii="Times New Roman" w:cs="Times New Roman" w:eastAsia="Times New Roman" w:hAnsi="Times New Roman"/>
          <w:sz w:val="20"/>
          <w:szCs w:val="20"/>
        </w:rPr>
        <w:t xml:space="preserve">M5Rules produced piecewise-linear regression models with 2 IF-regions for RDD and 3 IF-regions for RVV. Table 7 presents the rule conditions for each region, and Table 8 reports the training and cross-validated regression metrics.</w:t>
      </w:r>
    </w:p>
    <w:p>
      <w:pPr>
        <w:spacing w:after="60" w:before="120"/>
      </w:pPr>
      <w:r>
        <w:rPr>
          <w:rFonts w:ascii="Times New Roman" w:cs="Times New Roman" w:eastAsia="Times New Roman" w:hAnsi="Times New Roman"/>
          <w:b w:val="false"/>
          <w:bCs w:val="false"/>
          <w:sz w:val="18"/>
          <w:szCs w:val="18"/>
        </w:rPr>
        <w:t xml:space="preserve">Table 7. M5Rules IF-region conditions and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700"/>
        <w:gridCol w:w="4000"/>
        <w:gridCol w:w="1558"/>
        <w:gridCol w:w="1600"/>
      </w:tblGrid>
      <w:tr>
        <w:tc>
          <w:tcPr>
            <w:tcW w:type="dxa" w:w="38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Region</w:t>
            </w:r>
          </w:p>
        </w:tc>
        <w:tc>
          <w:tcPr>
            <w:tcW w:type="dxa" w:w="17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Dataset</w:t>
            </w:r>
          </w:p>
        </w:tc>
        <w:tc>
          <w:tcPr>
            <w:tcW w:type="dxa" w:w="4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IF condition</w:t>
            </w:r>
          </w:p>
        </w:tc>
        <w:tc>
          <w:tcPr>
            <w:tcW w:type="dxa" w:w="155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Years covered</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Coverage %</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RDD</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tm_fl_y0_b10 &gt; 16.03 AND days.rf.above.1mm_fl_y1_a20 &lt;= 3.5</w:t>
            </w:r>
          </w:p>
        </w:tc>
        <w:tc>
          <w:tcPr>
            <w:tcW w:type="dxa" w:w="1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21.6%</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RDD</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(otherwise — default region)</w:t>
            </w:r>
          </w:p>
        </w:tc>
        <w:tc>
          <w:tcPr>
            <w:tcW w:type="dxa" w:w="1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69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78.4%</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RVV</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swa_fl_y1_a15 &gt; 131.36</w:t>
            </w:r>
          </w:p>
        </w:tc>
        <w:tc>
          <w:tcPr>
            <w:tcW w:type="dxa" w:w="1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41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51.2%</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RVV</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tm_hv_y1_b20 &gt; 16.76</w:t>
            </w:r>
          </w:p>
        </w:tc>
        <w:tc>
          <w:tcPr>
            <w:tcW w:type="dxa" w:w="1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31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38.8%</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RVV</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(otherwise — default region)</w:t>
            </w:r>
          </w:p>
        </w:tc>
        <w:tc>
          <w:tcPr>
            <w:tcW w:type="dxa" w:w="1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10.0%</w:t>
            </w:r>
          </w:p>
        </w:tc>
      </w:tr>
    </w:tbl>
    <w:p>
      <w:pPr>
        <w:spacing w:after="200" w:before="0"/>
      </w:pPr>
    </w:p>
    <w:p>
      <w:pPr>
        <w:spacing w:after="60" w:before="120"/>
      </w:pPr>
      <w:r>
        <w:rPr>
          <w:rFonts w:ascii="Times New Roman" w:cs="Times New Roman" w:eastAsia="Times New Roman" w:hAnsi="Times New Roman"/>
          <w:b w:val="false"/>
          <w:bCs w:val="false"/>
          <w:sz w:val="18"/>
          <w:szCs w:val="18"/>
        </w:rPr>
        <w:t xml:space="preserve">Table 8. Training and cross-validated regression metrics for M5Rules (10-fold CV).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600"/>
        <w:gridCol w:w="1600"/>
        <w:gridCol w:w="1338"/>
      </w:tblGrid>
      <w:tr>
        <w:tc>
          <w:tcPr>
            <w:tcW w:type="dxa" w:w="19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Dataset</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Train MAE</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Train RMSE</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Train R2</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CV MAE</w:t>
            </w:r>
          </w:p>
        </w:tc>
        <w:tc>
          <w:tcPr>
            <w:tcW w:type="dxa" w:w="133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CV R2</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RDD (Douro)</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125.0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160.2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0.552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183.4</w:t>
            </w:r>
          </w:p>
        </w:tc>
        <w:tc>
          <w:tcPr>
            <w:tcW w:type="dxa" w:w="13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0.004</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RVV (Vinho Verde)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269.2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354.8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0.575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440.1</w:t>
            </w:r>
          </w:p>
        </w:tc>
        <w:tc>
          <w:tcPr>
            <w:tcW w:type="dxa" w:w="13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-0.070</w:t>
            </w:r>
          </w:p>
        </w:tc>
      </w:tr>
    </w:tbl>
    <w:p>
      <w:pPr>
        <w:spacing w:after="200" w:before="0"/>
      </w:pPr>
    </w:p>
    <w:p>
      <w:pPr>
        <w:spacing w:after="80" w:before="80" w:line="276"/>
        <w:jc w:val="both"/>
      </w:pPr>
      <w:r>
        <w:rPr>
          <w:rFonts w:ascii="Times New Roman" w:cs="Times New Roman" w:eastAsia="Times New Roman" w:hAnsi="Times New Roman"/>
          <w:sz w:val="20"/>
          <w:szCs w:val="20"/>
        </w:rPr>
        <w:t xml:space="preserve">The M5Rules models exhibit a severe training-to-generalisation gap. Training R2 values of 0.55 (RDD) and 0.58 (RVV) indicate that the piecewise-linear models fit the training data well; however, cross-validated R2 collapses to near zero (0.004 for RDD) or below zero (-0.070 for RVV). A negative CV R2 means that the model performs worse than simply predicting the training mean, i.e., it is adding noise rather than signal when applied to held-out observations. This result is a direct consequence of the high feature dimensionality relative to the sample size: each linear model within an IF-region uses up to 16 coefficients estimated from fewer than 70 training observations, leading to overfitting that cannot be compensated by the smoothing applied by the M5 algorithm.</w:t>
      </w:r>
    </w:p>
    <w:p>
      <w:pPr>
        <w:spacing w:after="80" w:before="80" w:line="276"/>
        <w:jc w:val="both"/>
      </w:pPr>
      <w:r>
        <w:rPr>
          <w:rFonts w:ascii="Times New Roman" w:cs="Times New Roman" w:eastAsia="Times New Roman" w:hAnsi="Times New Roman"/>
          <w:sz w:val="20"/>
          <w:szCs w:val="20"/>
        </w:rPr>
        <w:t xml:space="preserve">Despite the poor CV generalisation, the IF-conditions of the M5Rules models are informative. For RDD, Region 1 is activated when the mean temperature 10 days before flowering in the previous year exceeds 16.03 degrees C and the count of wet days in the 20 days after flowering in the current year is at most 3.5 — a combination that overlaps precisely with the conditions identified as above-trend by CAREN Rules 1, 3, 5, and 6. For RVV, Region 1 is activated by high soil water availability at 15 days after flowering (above 131.36 mm), consistent with the soil water feature (swa_fl_y1_a30) that appears in four of the top five CAREN rules for that region.</w:t>
      </w:r>
    </w:p>
    <w:p>
      <w:pPr>
        <w:spacing w:after="120" w:before="280"/>
      </w:pPr>
      <w:r>
        <w:rPr>
          <w:rFonts w:ascii="Times New Roman" w:cs="Times New Roman" w:eastAsia="Times New Roman" w:hAnsi="Times New Roman"/>
          <w:b/>
          <w:bCs/>
          <w:sz w:val="24"/>
          <w:szCs w:val="24"/>
        </w:rPr>
        <w:t xml:space="preserve">4.5 Cross-Model Feature Analysis</w:t>
      </w:r>
    </w:p>
    <w:p>
      <w:pPr>
        <w:spacing w:after="80" w:before="80" w:line="276"/>
        <w:jc w:val="both"/>
      </w:pPr>
      <w:r>
        <w:rPr>
          <w:rFonts w:ascii="Times New Roman" w:cs="Times New Roman" w:eastAsia="Times New Roman" w:hAnsi="Times New Roman"/>
          <w:sz w:val="20"/>
          <w:szCs w:val="20"/>
        </w:rPr>
        <w:t xml:space="preserve">Table 9 summarises the feature overlap across the three algorithms in each region. Features appearing in at least two of the three models constitute the most defensible explanatory signals, as they are identified by independent learning objectives (descriptive sub-group discovery, classification, and regression).</w:t>
      </w:r>
    </w:p>
    <w:p>
      <w:pPr>
        <w:spacing w:after="60" w:before="120"/>
      </w:pPr>
      <w:r>
        <w:rPr>
          <w:rFonts w:ascii="Times New Roman" w:cs="Times New Roman" w:eastAsia="Times New Roman" w:hAnsi="Times New Roman"/>
          <w:b w:val="false"/>
          <w:bCs w:val="false"/>
          <w:sz w:val="18"/>
          <w:szCs w:val="18"/>
        </w:rPr>
        <w:t xml:space="preserve">Table 9. Cross-model feature overlap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738"/>
      </w:tblGrid>
      <w:tr>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
            </w:r>
          </w:p>
        </w:tc>
        <w:tc>
          <w:tcPr>
            <w:tcW w:type="dxa" w:w="25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RDD (Douro)</w:t>
            </w:r>
          </w:p>
        </w:tc>
        <w:tc>
          <w:tcPr>
            <w:tcW w:type="dxa" w:w="25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b/>
                <w:bCs/>
                <w:sz w:val="20"/>
                <w:szCs w:val="20"/>
              </w:rPr>
              <w:t xml:space="preserve">RVV (Vinho Verde)</w:t>
            </w:r>
          </w:p>
        </w:tc>
        <w:tc>
          <w:tcPr>
            <w:tcW w:type="dxa" w:w="173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b/>
                <w:bCs/>
                <w:sz w:val="20"/>
                <w:szCs w:val="20"/>
              </w:rPr>
              <w:t xml:space="preserve">Note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Distinct features used by CAREN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17</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18</w:t>
            </w:r>
          </w:p>
        </w:tc>
        <w:tc>
          <w:tcPr>
            <w:tcW w:type="dxa" w:w="17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Distinct features used by RIPPER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4</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7</w:t>
            </w:r>
          </w:p>
        </w:tc>
        <w:tc>
          <w:tcPr>
            <w:tcW w:type="dxa" w:w="17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Distinct features used by M5Rules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10</w:t>
            </w:r>
          </w:p>
        </w:tc>
        <w:tc>
          <w:tcPr>
            <w:tcW w:type="dxa" w:w="17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CAREN cap RIPPER overlap</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iaf_bb_y1_c10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rf_fl_y1_a10, swa_fl_y1_a30, tm_bb_y0_a30, tm_fl_y1_c15</w:t>
            </w:r>
          </w:p>
        </w:tc>
        <w:tc>
          <w:tcPr>
            <w:tcW w:type="dxa" w:w="17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RIPPER cap M5Rules overlap</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tm.days.less.15_fl_y1_b15, tm_hv_y1_c10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swa_fl_y1_a30, tm_fl_y1_c15</w:t>
            </w:r>
          </w:p>
        </w:tc>
        <w:tc>
          <w:tcPr>
            <w:tcW w:type="dxa" w:w="17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Shared by ALL THREE algorithms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center"/>
            </w:pPr>
            <w:r>
              <w:rPr>
                <w:rFonts w:ascii="Times New Roman" w:cs="Times New Roman" w:eastAsia="Times New Roman" w:hAnsi="Times New Roman"/>
                <w:sz w:val="20"/>
                <w:szCs w:val="20"/>
              </w:rPr>
              <w:t xml:space="preserve">(none)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swa_fl_y1_a30, tm_fl_y1_c15</w:t>
            </w:r>
          </w:p>
        </w:tc>
        <w:tc>
          <w:tcPr>
            <w:tcW w:type="dxa" w:w="17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before="0" w:line="240"/>
              <w:jc w:val="left"/>
            </w:pPr>
            <w:r>
              <w:rPr>
                <w:rFonts w:ascii="Times New Roman" w:cs="Times New Roman" w:eastAsia="Times New Roman" w:hAnsi="Times New Roman"/>
                <w:sz w:val="20"/>
                <w:szCs w:val="20"/>
              </w:rPr>
              <w:t xml:space="preserve">Backbone features</w:t>
            </w:r>
          </w:p>
        </w:tc>
      </w:tr>
    </w:tbl>
    <w:p>
      <w:pPr>
        <w:spacing w:after="200" w:before="0"/>
      </w:pPr>
    </w:p>
    <w:p>
      <w:pPr>
        <w:spacing w:after="80" w:before="80" w:line="276"/>
        <w:jc w:val="both"/>
      </w:pPr>
      <w:r>
        <w:rPr>
          <w:rFonts w:ascii="Times New Roman" w:cs="Times New Roman" w:eastAsia="Times New Roman" w:hAnsi="Times New Roman"/>
          <w:sz w:val="20"/>
          <w:szCs w:val="20"/>
        </w:rPr>
        <w:t xml:space="preserve">The cross-model analysis reveals a clear structural difference between the two regions. In the Vinho Verde region, two features are selected by all three algorithms independently: swa_fl_y1_a30 (available soil water in the 30 days following flowering in the current year) and tm_fl_y1_c15 (mean temperature in a 15-day centred window around the flowering date). These two variables constitute the backbone of the climate signal in RVV, and their consistent selection across CAREN, RIPPER, and M5Rules substantially increases confidence in their causal relevance. The soil water variable appears in CAREN Rules 3 and 9 (as a below-trend signal when SWA is high), in RIPPER Rule 3 (as a below-threshold condition activating the High class), and in M5Rules Region 1 (as a threshold activating the high-SWA region). The flowering temperature variable appears in CAREN Rules 2 and 5, in RIPPER Rule 3, and in the linear coefficient of M5Rules Region 2.</w:t>
      </w:r>
    </w:p>
    <w:p>
      <w:pPr>
        <w:spacing w:after="80" w:before="80" w:line="276"/>
        <w:jc w:val="both"/>
      </w:pPr>
      <w:r>
        <w:rPr>
          <w:rFonts w:ascii="Times New Roman" w:cs="Times New Roman" w:eastAsia="Times New Roman" w:hAnsi="Times New Roman"/>
          <w:sz w:val="20"/>
          <w:szCs w:val="20"/>
        </w:rPr>
        <w:t xml:space="preserve">In the Douro region, no single feature is selected by all three algorithms, but several pairwise overlaps exist. The temperature at harvest (tm_hv_y1_c10 and related variants) is shared by RIPPER and M5Rules, while the leaf area index at bud break (iaf_bb_y1_c10) is shared by CAREN and RIPPER. The absence of a three-way backbone in RDD suggests that the climate signal is more distributed across multiple phenological stages and variable types, or that the signal-to-noise ratio is lower, making the three algorithms converge on different aspects of the same underlying phenomenon.</w:t>
      </w:r>
    </w:p>
    <w:p>
      <w:pPr>
        <w:spacing w:after="120" w:before="280"/>
      </w:pPr>
      <w:r>
        <w:rPr>
          <w:rFonts w:ascii="Times New Roman" w:cs="Times New Roman" w:eastAsia="Times New Roman" w:hAnsi="Times New Roman"/>
          <w:b/>
          <w:bCs/>
          <w:sz w:val="28"/>
          <w:szCs w:val="28"/>
        </w:rPr>
        <w:t xml:space="preserve">5 Conclusion</w:t>
      </w:r>
    </w:p>
    <w:p>
      <w:pPr>
        <w:spacing w:after="80" w:before="80" w:line="276"/>
        <w:jc w:val="both"/>
      </w:pPr>
      <w:r>
        <w:rPr>
          <w:rFonts w:ascii="Times New Roman" w:cs="Times New Roman" w:eastAsia="Times New Roman" w:hAnsi="Times New Roman"/>
          <w:sz w:val="20"/>
          <w:szCs w:val="20"/>
        </w:rPr>
        <w:t xml:space="preserve">This paper presented a comparative study of three interpretable rule-learning algorithms — CAREN, RIPPER, and M5Rules — for the discovery of climate-phenological rules governing annual wine production in two Portuguese wine regions: the Douro (RDD, 88 years) and Vinho Verde (RVV, 80 years). A systematic feature engineering protocol anchored to six vine phenological stages produced a pool of 60 features per observation. Linear detrending was consistently applied to isolate climate-driven interannual variability from long-term structural trends.</w:t>
      </w:r>
    </w:p>
    <w:p>
      <w:pPr>
        <w:spacing w:after="80" w:before="80" w:line="276"/>
        <w:jc w:val="both"/>
      </w:pPr>
      <w:r>
        <w:rPr>
          <w:rFonts w:ascii="Times New Roman" w:cs="Times New Roman" w:eastAsia="Times New Roman" w:hAnsi="Times New Roman"/>
          <w:sz w:val="20"/>
          <w:szCs w:val="20"/>
        </w:rPr>
        <w:t xml:space="preserve">The four claimed contributions of the paper were delivered. C1: the phenological feature engineering protocol produced a rich, biologically motivated feature set that was successfully consumed by all three learning algorithms. C2: the consistent detrending methodology was validated as necessary to prevent chronological confounding, and its correct integration into the cross-validation loop was demonstrated. C3: CAREN discovered 48 and 20 statistically significant distribution rules for RDD and RVV respectively, with the strongest rules reaching p = 0.0043 for RDD and p = 0.0198 for RVV; RIPPER achieved 42.0% accuracy on RDD; and M5Rules achieved training R2 of 0.55–0.58, exposing the small-sample generalisation limit clearly through the near-zero CV R2. C4: a cross-model backbone of two features (swa_fl_y1_a30 and tm_fl_y1_c15) was identified for RVV, confirmed by three independent learning objectives, while no such consensus backbone was found for RDD.</w:t>
      </w:r>
    </w:p>
    <w:p>
      <w:pPr>
        <w:spacing w:after="80" w:before="80" w:line="276"/>
        <w:jc w:val="both"/>
      </w:pPr>
      <w:r>
        <w:rPr>
          <w:rFonts w:ascii="Times New Roman" w:cs="Times New Roman" w:eastAsia="Times New Roman" w:hAnsi="Times New Roman"/>
          <w:sz w:val="20"/>
          <w:szCs w:val="20"/>
        </w:rPr>
        <w:t xml:space="preserve">The results provide several practically relevant insights. The Douro region's above-trend production years are strongly associated with dry conditions at flowering and maturity, consistent with established viticultural understanding of rainfall-induced yield dilution. The Vinho Verde region is characterised by predominantly below-trend associations, with moderate-to-high soil water at flowering and moderate flowering temperatures emerging as the most robust predictors of deviation from trend. CAREN is identified as the primary tool for interpretive knowledge discovery, while RIPPER and M5Rules serve as corroborating predictors.</w:t>
      </w:r>
    </w:p>
    <w:p>
      <w:pPr>
        <w:spacing w:after="80" w:before="80" w:line="276"/>
        <w:jc w:val="both"/>
      </w:pPr>
      <w:r>
        <w:rPr>
          <w:rFonts w:ascii="Times New Roman" w:cs="Times New Roman" w:eastAsia="Times New Roman" w:hAnsi="Times New Roman"/>
          <w:sz w:val="20"/>
          <w:szCs w:val="20"/>
        </w:rPr>
        <w:t xml:space="preserve">Future work will address three main limitations. First, the severe overfitting of M5Rules in both regions motivates the application of feature selection — potentially using the cross-model backbone as an initialisation — to reduce the effective dimensionality before regression model construction. Second, the temporal validation of the discovered rules via a walk-forward scheme (expanding window, minimum 25 years of training data before first prediction) will provide a more rigorous assessment of their temporal stability. Third, the incorporation of satellite-derived vegetation indices and multi-site meteorological ensemble products may extend the framework to regions without long-term phenological observation records.</w:t>
      </w:r>
    </w:p>
    <w:p>
      <w:pPr>
        <w:spacing w:after="120" w:before="280"/>
      </w:pPr>
      <w:r>
        <w:rPr>
          <w:rFonts w:ascii="Times New Roman" w:cs="Times New Roman" w:eastAsia="Times New Roman" w:hAnsi="Times New Roman"/>
          <w:b/>
          <w:bCs/>
          <w:sz w:val="28"/>
          <w:szCs w:val="28"/>
        </w:rPr>
        <w:t xml:space="preserve">References</w:t>
      </w:r>
    </w:p>
    <w:p>
      <w:pPr>
        <w:pBdr>
          <w:bottom w:val="single" w:color="333333" w:sz="4" w:space="1"/>
        </w:pBdr>
        <w:spacing w:after="120" w:before="120"/>
      </w:pPr>
    </w:p>
    <w:p>
      <w:pPr>
        <w:spacing w:after="40" w:before="40" w:line="240"/>
        <w:ind w:left="360" w:hanging="360"/>
      </w:pPr>
      <w:r>
        <w:rPr>
          <w:rFonts w:ascii="Times New Roman" w:cs="Times New Roman" w:eastAsia="Times New Roman" w:hAnsi="Times New Roman"/>
          <w:sz w:val="18"/>
          <w:szCs w:val="18"/>
        </w:rPr>
        <w:t xml:space="preserve">[1] Malheiro, A.C., Santos, J.A., Fraga, H., Pinto, J.G.: Climate change scenarios applied to viticultural zoning in Europe. Clim. Res. 43(3), 163–177 (2010).</w:t>
      </w:r>
    </w:p>
    <w:p>
      <w:pPr>
        <w:spacing w:after="40" w:before="40" w:line="240"/>
        <w:ind w:left="360" w:hanging="360"/>
      </w:pPr>
      <w:r>
        <w:rPr>
          <w:rFonts w:ascii="Times New Roman" w:cs="Times New Roman" w:eastAsia="Times New Roman" w:hAnsi="Times New Roman"/>
          <w:sz w:val="18"/>
          <w:szCs w:val="18"/>
        </w:rPr>
        <w:t xml:space="preserve">[2] Fraga, H., Garcia de Cortazar Atauri, I., Malheiro, A.C., Santos, J.A.: Modelling climate change impacts on viticultural yield, phenology and stress conditions in Europe. Glob. Change Biol. 22(11), 3774–3788 (2016).</w:t>
      </w:r>
    </w:p>
    <w:p>
      <w:pPr>
        <w:spacing w:after="40" w:before="40" w:line="240"/>
        <w:ind w:left="360" w:hanging="360"/>
      </w:pPr>
      <w:r>
        <w:rPr>
          <w:rFonts w:ascii="Times New Roman" w:cs="Times New Roman" w:eastAsia="Times New Roman" w:hAnsi="Times New Roman"/>
          <w:sz w:val="18"/>
          <w:szCs w:val="18"/>
        </w:rPr>
        <w:t xml:space="preserve">[3] Bocca, F.F., Rodrigues, L.H.A.: The effect of tuning, feature engineering, and feature selection in data mining applied to rainfed sugarcane yield modelling. Comput. Electron. Agric. 128, 67–76 (2016).</w:t>
      </w:r>
    </w:p>
    <w:p>
      <w:pPr>
        <w:spacing w:after="40" w:before="40" w:line="240"/>
        <w:ind w:left="360" w:hanging="360"/>
      </w:pPr>
      <w:r>
        <w:rPr>
          <w:rFonts w:ascii="Times New Roman" w:cs="Times New Roman" w:eastAsia="Times New Roman" w:hAnsi="Times New Roman"/>
          <w:sz w:val="18"/>
          <w:szCs w:val="18"/>
        </w:rPr>
        <w:t xml:space="preserve">[4] Shahhosseini, M., Martinez-Feria, R.A., Hu, G., Archontoulis, S.V.: Maize yield and nitrate loss prediction with machine learning algorithms. Environ. Res. Lett. 14(12), 124026 (2019).</w:t>
      </w:r>
    </w:p>
    <w:p>
      <w:pPr>
        <w:spacing w:after="40" w:before="40" w:line="240"/>
        <w:ind w:left="360" w:hanging="360"/>
      </w:pPr>
      <w:r>
        <w:rPr>
          <w:rFonts w:ascii="Times New Roman" w:cs="Times New Roman" w:eastAsia="Times New Roman" w:hAnsi="Times New Roman"/>
          <w:sz w:val="18"/>
          <w:szCs w:val="18"/>
        </w:rPr>
        <w:t xml:space="preserve">[5] Cortez, P., Cerdeira, A., Almeida, F., Matos, T., Reis, J.: Modeling wine preferences by data mining from physicochemical properties. Decis. Support Syst. 47(4), 547–553 (2009).</w:t>
      </w:r>
    </w:p>
    <w:p>
      <w:pPr>
        <w:spacing w:after="40" w:before="40" w:line="240"/>
        <w:ind w:left="360" w:hanging="360"/>
      </w:pPr>
      <w:r>
        <w:rPr>
          <w:rFonts w:ascii="Times New Roman" w:cs="Times New Roman" w:eastAsia="Times New Roman" w:hAnsi="Times New Roman"/>
          <w:sz w:val="18"/>
          <w:szCs w:val="18"/>
        </w:rPr>
        <w:t xml:space="preserve">[6] Cunha, M., Ribeiro, H., Costa, P., Abreu, I.: A comparative study of Acacia, grass and vine pollen for aerobiological forecasting purposes in the city of Porto (Portugal). Int. J. Biometeorol. 59(4), 405–418 (2015).</w:t>
      </w:r>
    </w:p>
    <w:p>
      <w:pPr>
        <w:spacing w:after="40" w:before="40" w:line="240"/>
        <w:ind w:left="360" w:hanging="360"/>
      </w:pPr>
      <w:r>
        <w:rPr>
          <w:rFonts w:ascii="Times New Roman" w:cs="Times New Roman" w:eastAsia="Times New Roman" w:hAnsi="Times New Roman"/>
          <w:sz w:val="18"/>
          <w:szCs w:val="18"/>
        </w:rPr>
        <w:t xml:space="preserve">[7] Fraga, H., Malheiro, A.C., Moutinho-Pereira, J., Santos, J.A.: An overview of climate change impacts on European viticulture. Food Energy Secur. 1(2), 94–110 (2012).</w:t>
      </w:r>
    </w:p>
    <w:p>
      <w:pPr>
        <w:spacing w:after="40" w:before="40" w:line="240"/>
        <w:ind w:left="360" w:hanging="360"/>
      </w:pPr>
      <w:r>
        <w:rPr>
          <w:rFonts w:ascii="Times New Roman" w:cs="Times New Roman" w:eastAsia="Times New Roman" w:hAnsi="Times New Roman"/>
          <w:sz w:val="18"/>
          <w:szCs w:val="18"/>
        </w:rPr>
        <w:t xml:space="preserve">[8] Jones, G.V., Davis, R.E.: Climate influences on grapevine phenology, grape composition, and wine production and quality for Bordeaux, France. Am. J. Enol. Vitic. 51(3), 249–261 (2000).</w:t>
      </w:r>
    </w:p>
    <w:p>
      <w:pPr>
        <w:spacing w:after="40" w:before="40" w:line="240"/>
        <w:ind w:left="360" w:hanging="360"/>
      </w:pPr>
      <w:r>
        <w:rPr>
          <w:rFonts w:ascii="Times New Roman" w:cs="Times New Roman" w:eastAsia="Times New Roman" w:hAnsi="Times New Roman"/>
          <w:sz w:val="18"/>
          <w:szCs w:val="18"/>
        </w:rPr>
        <w:t xml:space="preserve">[9] Leathwick, J.R., Elith, J., Francis, M.P., Hastie, T., Taylor, P.: Variation in demersal fish species richness in the oceans surrounding New Zealand: an analysis using boosted regression trees. Mar. Ecol. Prog. Ser. 321, 267–281 (2006).</w:t>
      </w:r>
    </w:p>
    <w:p>
      <w:pPr>
        <w:spacing w:after="40" w:before="40" w:line="240"/>
        <w:ind w:left="360" w:hanging="360"/>
      </w:pPr>
      <w:r>
        <w:rPr>
          <w:rFonts w:ascii="Times New Roman" w:cs="Times New Roman" w:eastAsia="Times New Roman" w:hAnsi="Times New Roman"/>
          <w:sz w:val="18"/>
          <w:szCs w:val="18"/>
        </w:rPr>
        <w:t xml:space="preserve">[10] Caffarra, A., Rinaldi, M., Eccel, E., Rossi, V., Pertot, I.: Modelling the impact of climate change on the interaction between grapevine and its pests and pathogens: European grapevine moth and powdery mildew. Agric. Ecosyst. Environ. 148, 89–101 (2012).</w:t>
      </w:r>
    </w:p>
    <w:p>
      <w:pPr>
        <w:spacing w:after="40" w:before="40" w:line="240"/>
        <w:ind w:left="360" w:hanging="360"/>
      </w:pPr>
      <w:r>
        <w:rPr>
          <w:rFonts w:ascii="Times New Roman" w:cs="Times New Roman" w:eastAsia="Times New Roman" w:hAnsi="Times New Roman"/>
          <w:sz w:val="18"/>
          <w:szCs w:val="18"/>
        </w:rPr>
        <w:t xml:space="preserve">[11] Bois, B., Zito, S., Calonnec, A.: Climate vs grapevine pests and diseases worldwide: the first results of a global survey. OENO One 51(2), 133–139 (2017).</w:t>
      </w:r>
    </w:p>
    <w:p>
      <w:pPr>
        <w:spacing w:after="40" w:before="40" w:line="240"/>
        <w:ind w:left="360" w:hanging="360"/>
      </w:pPr>
      <w:r>
        <w:rPr>
          <w:rFonts w:ascii="Times New Roman" w:cs="Times New Roman" w:eastAsia="Times New Roman" w:hAnsi="Times New Roman"/>
          <w:sz w:val="18"/>
          <w:szCs w:val="18"/>
        </w:rPr>
        <w:t xml:space="preserve">[12] Costa, J.M., Ortuño, M.F., Chaves, M.M.: Deficit irrigation as a strategy to save water: physiology and potential application to horticulture. J. Integr. Plant Biol. 49(10), 1421–1434 (2007).</w:t>
      </w:r>
    </w:p>
    <w:p>
      <w:pPr>
        <w:spacing w:after="40" w:before="40" w:line="240"/>
        <w:ind w:left="360" w:hanging="360"/>
      </w:pPr>
      <w:r>
        <w:rPr>
          <w:rFonts w:ascii="Times New Roman" w:cs="Times New Roman" w:eastAsia="Times New Roman" w:hAnsi="Times New Roman"/>
          <w:sz w:val="18"/>
          <w:szCs w:val="18"/>
        </w:rPr>
        <w:t xml:space="preserve">[13] Cohen, W.W.: Fast effective rule induction. In: Proceedings of the 12th International Conference on Machine Learning (ICML), pp. 115–123. Morgan Kaufmann, San Francisco (1995).</w:t>
      </w:r>
    </w:p>
    <w:p>
      <w:pPr>
        <w:spacing w:after="40" w:before="40" w:line="240"/>
        <w:ind w:left="360" w:hanging="360"/>
      </w:pPr>
      <w:r>
        <w:rPr>
          <w:rFonts w:ascii="Times New Roman" w:cs="Times New Roman" w:eastAsia="Times New Roman" w:hAnsi="Times New Roman"/>
          <w:sz w:val="18"/>
          <w:szCs w:val="18"/>
        </w:rPr>
        <w:t xml:space="preserve">[14] Wang, Y., Witten, I.H.: Induction of model trees for predicting continuous classes. In: Proceedings of the European Conference on Machine Learning (ECML) Poster Papers, pp. 128–137 (1997).</w:t>
      </w:r>
    </w:p>
    <w:p>
      <w:pPr>
        <w:spacing w:after="40" w:before="40" w:line="240"/>
        <w:ind w:left="360" w:hanging="360"/>
      </w:pPr>
      <w:r>
        <w:rPr>
          <w:rFonts w:ascii="Times New Roman" w:cs="Times New Roman" w:eastAsia="Times New Roman" w:hAnsi="Times New Roman"/>
          <w:sz w:val="18"/>
          <w:szCs w:val="18"/>
        </w:rPr>
        <w:t xml:space="preserve">[15] Quinlan, J.R.: Learning with continuous classes. In: Proceedings of the 5th Australian Joint Conference on Artificial Intelligence, pp. 343–348. World Scientific (1992).</w:t>
      </w:r>
    </w:p>
    <w:p>
      <w:pPr>
        <w:spacing w:after="40" w:before="40" w:line="240"/>
        <w:ind w:left="360" w:hanging="360"/>
      </w:pPr>
      <w:r>
        <w:rPr>
          <w:rFonts w:ascii="Times New Roman" w:cs="Times New Roman" w:eastAsia="Times New Roman" w:hAnsi="Times New Roman"/>
          <w:sz w:val="18"/>
          <w:szCs w:val="18"/>
        </w:rPr>
        <w:t xml:space="preserve">[16] Agrawal, R., Srikant, R.: Fast algorithms for mining association rules. In: Proceedings of the 20th VLDB Conference, pp. 487–499. Morgan Kaufmann (1994).</w:t>
      </w:r>
    </w:p>
    <w:p>
      <w:pPr>
        <w:spacing w:after="40" w:before="40" w:line="240"/>
        <w:ind w:left="360" w:hanging="360"/>
      </w:pPr>
      <w:r>
        <w:rPr>
          <w:rFonts w:ascii="Times New Roman" w:cs="Times New Roman" w:eastAsia="Times New Roman" w:hAnsi="Times New Roman"/>
          <w:sz w:val="18"/>
          <w:szCs w:val="18"/>
        </w:rPr>
        <w:t xml:space="preserve">[17] Jorge, A.M., Azevedo, P.J., Pereira, F.: Distribution rules with numeric attributes of interest. In: Knowledge Discovery in Databases: PKDD 2006. Lecture Notes in Computer Science, vol. 4213, pp. 247–258. Springer, Berlin (2006).</w:t>
      </w:r>
    </w:p>
    <w:p>
      <w:pPr>
        <w:spacing w:after="40" w:before="40" w:line="240"/>
        <w:ind w:left="360" w:hanging="360"/>
      </w:pPr>
      <w:r>
        <w:rPr>
          <w:rFonts w:ascii="Times New Roman" w:cs="Times New Roman" w:eastAsia="Times New Roman" w:hAnsi="Times New Roman"/>
          <w:sz w:val="18"/>
          <w:szCs w:val="18"/>
        </w:rPr>
        <w:t xml:space="preserve">[18] Klosgen, W.: Explora: A multipattern and multistrategy discovery assistant. In: Advances in Knowledge Discovery and Data Mining, pp. 249–271. AAAI Press (1996).</w:t>
      </w:r>
    </w:p>
    <w:p>
      <w:pPr>
        <w:spacing w:after="40" w:before="40" w:line="240"/>
        <w:ind w:left="360" w:hanging="360"/>
      </w:pPr>
      <w:r>
        <w:rPr>
          <w:rFonts w:ascii="Times New Roman" w:cs="Times New Roman" w:eastAsia="Times New Roman" w:hAnsi="Times New Roman"/>
          <w:sz w:val="18"/>
          <w:szCs w:val="18"/>
        </w:rPr>
        <w:t xml:space="preserve">[19] Dong, G., Li, J.: Efficient mining of emerging patterns: discovering trends and differences. In: Proceedings of the 5th ACM SIGKDD International Conference on Knowledge Discovery and Data Mining, pp. 43–52 (1999).</w:t>
      </w:r>
    </w:p>
    <w:p>
      <w:pPr>
        <w:spacing w:after="40" w:before="40" w:line="240"/>
        <w:ind w:left="360" w:hanging="360"/>
      </w:pPr>
      <w:r>
        <w:rPr>
          <w:rFonts w:ascii="Times New Roman" w:cs="Times New Roman" w:eastAsia="Times New Roman" w:hAnsi="Times New Roman"/>
          <w:sz w:val="18"/>
          <w:szCs w:val="18"/>
        </w:rPr>
        <w:t xml:space="preserve">[20] Moriondo, M., Bindi, M., Fagarazzi, C., Ferrise, R., Trombi, G.: Framework for high-resolution climate change impact assessment on grapevines at a regional scale. Reg. Environ. Change 11(3), 553–567 (2011).</w:t>
      </w:r>
    </w:p>
    <w:p>
      <w:pPr>
        <w:spacing w:after="40" w:before="40" w:line="240"/>
        <w:ind w:left="360" w:hanging="360"/>
      </w:pPr>
      <w:r>
        <w:rPr>
          <w:rFonts w:ascii="Times New Roman" w:cs="Times New Roman" w:eastAsia="Times New Roman" w:hAnsi="Times New Roman"/>
          <w:sz w:val="18"/>
          <w:szCs w:val="18"/>
        </w:rPr>
        <w:t xml:space="preserve">[21] Vaudour, E., Costantini, E., Jones, G.V., Mocali, S.: An overview of the recent approaches to terroir functional modelling, classification and mapping. OENO One 49(4), 321–339 (2015).</w:t>
      </w:r>
    </w:p>
    <w:p>
      <w:pPr>
        <w:spacing w:after="40" w:before="40" w:line="240"/>
        <w:ind w:left="360" w:hanging="360"/>
      </w:pPr>
      <w:r>
        <w:rPr>
          <w:rFonts w:ascii="Times New Roman" w:cs="Times New Roman" w:eastAsia="Times New Roman" w:hAnsi="Times New Roman"/>
          <w:sz w:val="18"/>
          <w:szCs w:val="18"/>
        </w:rPr>
        <w:t xml:space="preserve">[22] Hall, M., Frank, E., Holmes, G., Pfahringer, B., Reutemann, P., Witten, I.H.: The WEKA data mining software: an update. ACM SIGKDD Explor. Newsl. 11(1), 10–18 (2009).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spacing w:after="80" w:before="0"/>
      <w:jc w:val="right"/>
    </w:pPr>
    <w:r>
      <w:rPr>
        <w:rFonts w:ascii="Times New Roman" w:cs="Times New Roman" w:eastAsia="Times New Roman" w:hAnsi="Times New Roman"/>
        <w:sz w:val="18"/>
        <w:szCs w:val="18"/>
      </w:rPr>
      <w:t xml:space="preserve">Climate-Phenological Rules for Wine Production Estimation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2026-05-22T00:11:05.124Z</dcterms:created>
  <dcterms:modified xsi:type="dcterms:W3CDTF">2026-05-22T00:11:05.124Z</dcterms:modified>
</cp:coreProperties>
</file>

<file path=docProps/custom.xml><?xml version="1.0" encoding="utf-8"?>
<Properties xmlns="http://schemas.openxmlformats.org/officeDocument/2006/custom-properties" xmlns:vt="http://schemas.openxmlformats.org/officeDocument/2006/docPropsVTypes"/>
</file>