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1. Introduction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1.1 Motivation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Wine production is among the most climate-sensitive agricultural activities in Europe. Annual yield at a regional scale is governed by a complex interaction of meteorological conditions during the growing season, temperature, rainfall, soil water balance, and frost events, superimposed on longer-term structural factors including vine age and density, viticultural practices, policy constraints, and market demand. For wine regions such as the Douro Valley and Vinho Verde in northern Portugal, which together produce some of Portugal's most commercially and culturally significant wines, understanding the relationship between climate and production has practical relevance for producers, cooperatives, and regulatory bodies managing annual harvest forecasts, storage planning, and risk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At the same time, the agroclimatic signal in annual production data is weak relative to year-to-year noise. Regional production aggregates absorb the decisions of thousands of individual producers, vineyard-level heterogeneity in soil type, altitude, and training system, and the effects of localised weather events that are invisible in regional climate indices. This high noise level has historically limited the predictive accuracy of statistical models applied to wine production forecasting, and motivates the use of interpretable machine learning methods that aim to extract the most robust and actionable climate patterns from the available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Modern machine learning has been applied extensively to grape yield and wine production prediction over the past decade. Random Forest, Support Vector Machines, gradient boosting, and deep learning architectures including Long Short-Term Memory networks have all been used to predict yield from meteorological, phenological, and remote sensing data (Santos et al.; Lopes et al., 2024). These methods achieve strong predictive accuracy and handle complex non-linear interactions across large feature sets. Their limitation is interpretability: the internal decision logic is not accessible to viticulturalists, cooperative managers, or climate adaptation planners, and post-hoc explanation tools such as SHAP values approximate feature influence rather than producing explicit, auditable rules. Where the goal is to explain which conditions drive production, not merely to forecast the next value, this opacity is a fundamental constraint. No published work applies interpretable rule-based discovery methods to extract compact, human-readable agroclimatic patterns from long regional wine production records.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Rule-based methods produce human-readable conditional statements: for example, “if soil water at harvest is below X mm and fewer than Y wet days occur after flowering, then production is above the long-run trend by Z thousand hectolitres.” These outputs can be read, questioned, and validated by agronomists, vine growers, and policy analysts without requiring knowledge of the underlying algorithm. Each rule also carries an explicit support estimate, the proportion of historical years in which the condition held, giving a direct measure of how frequently the identified pattern occurred.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1.2 Research Goals and Questions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pursues two complementary goals applied to historical wine production data from two Portuguese wine regions: the Douro Demarcated Region (RDD, 89 years, 1934–2022) and the Vinho Verde Region (RVV, 80 years, 1942–2021).</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1 (Explainability): </w:t>
      </w:r>
      <w:r>
        <w:rPr>
          <w:rFonts w:ascii="Times New Roman" w:cs="Times New Roman" w:eastAsia="Times New Roman" w:hAnsi="Times New Roman"/>
          <w:sz w:val="24"/>
          <w:szCs w:val="24"/>
        </w:rPr>
        <w:t xml:space="preserve">discover interpretable agroclimatic rules that explain which meteorological conditions are associated with above and below-trend production years in each region. The primary algorithm for this goal is CarenR (CAREN framework), which identifies subgroups of observations where the distribution of production residuals differs significantly from the global distribution, as measured by a Kolmogorov–Smirnov test.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2 (Prediction): </w:t>
      </w:r>
      <w:r>
        <w:rPr>
          <w:rFonts w:ascii="Times New Roman" w:cs="Times New Roman" w:eastAsia="Times New Roman" w:hAnsi="Times New Roman"/>
          <w:sz w:val="24"/>
          <w:szCs w:val="24"/>
        </w:rPr>
        <w:t>evaluate whether the discovered rules, and rule-based models more generally, can outperform a naive production forecast in rigorous walk-forward (expanding window) validation. This goal addresses whether the identified climate patterns have sufficient predictive power to improve on the simplest possible forecast: the historical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goals give rise to four specific research questions: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RQ1: Which agroclimatic variables most consistently distinguish above and below-trend production years in the Douro and Vinho Verde regions?</w:t>
      </w:r>
    </w:p>
    <w:p>
      <w:pPr>
        <w:spacing w:after="80" w:before="80" w:line="320"/>
        <w:ind w:left="720" w:hanging="360"/>
        <w:jc w:val="both"/>
      </w:pPr>
      <w:r>
        <w:rPr>
          <w:rFonts w:ascii="Times New Roman" w:cs="Times New Roman" w:eastAsia="Times New Roman" w:hAnsi="Times New Roman"/>
          <w:sz w:val="24"/>
          <w:szCs w:val="24"/>
        </w:rPr>
        <w:t xml:space="preserve">•  RQ2: Do the identified variables reflect genuine within-era climate effects, or are they confounded with the structural production era transitions observed in both regions?</w:t>
      </w:r>
    </w:p>
    <w:p>
      <w:pPr>
        <w:spacing w:after="80" w:before="80" w:line="320"/>
        <w:ind w:left="720" w:hanging="360"/>
        <w:jc w:val="both"/>
      </w:pPr>
      <w:r>
        <w:rPr>
          <w:rFonts w:ascii="Times New Roman" w:cs="Times New Roman" w:eastAsia="Times New Roman" w:hAnsi="Times New Roman"/>
          <w:sz w:val="24"/>
          <w:szCs w:val="24"/>
        </w:rPr>
        <w:t xml:space="preserve">•  RQ3: Does any rule-based model outperform the Naive_Median baseline in rigorous walk-forward validation?</w:t>
      </w:r>
    </w:p>
    <w:p>
      <w:pPr>
        <w:spacing w:after="80" w:before="80" w:line="320"/>
        <w:ind w:left="720" w:hanging="360"/>
        <w:jc w:val="both"/>
      </w:pPr>
      <w:r>
        <w:rPr>
          <w:rFonts w:ascii="Times New Roman" w:cs="Times New Roman" w:eastAsia="Times New Roman" w:hAnsi="Times New Roman"/>
          <w:sz w:val="24"/>
          <w:szCs w:val="24"/>
        </w:rPr>
        <w:t>•  RQ4: If rule-based prediction fails in aggregate, under what conditions, if any, does it succeed, and what structural properties of the data explain those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1.3 Scope and Delimitations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thesis focuses exclusively on annual regional production aggregates measured in thousands of hectolitres (mhl). Sub-regional, vineyard-level, or quality-related outcomes are outside the scope of the study. The feature set is derived from regional climate indices and a vine phenological model; field measurements of vine physiology are not available and not considered. The study does not address price forecasting, demand modelling, or the economics of wine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rule-learning algorithms evaluated are CarenR (distributional rules), RIPPER (classification rules), and M5Rules (piecewise linear model trees), together with naive baselines and a Decision Tree regressor as a non-rule comparator. Deep learning, ensemble, and Gaussian process methods are not evaluated; the thesis is specifically motivated by the interpretability requirement that makes rule-based methods preferable in this domain context.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1.4 Thesis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Chapter 2 covers the relevant background: wine production forecasting, agroclimatic modelling, and rule-based machine learning. Chapter 3 describes the data, feature engineering, detrending methodology, and walk-forward validation protocol, and introduces the two-decision decomposition framework used throughout the analysis. Chapter 4 reports the rule discovery results: algorithms compared, dominant agroclimatic features, and LOESS validation. Chapter 5 presents the walk-forward prediction results for both regions, including era-composition analysis and statistical tests. Chapter 6 discusses why rule discovery succeeds while aggregate prediction does not, examines the structural divergence between the two regions, and outlines directions for improvement. Chapter 7 presents conclusions, contributions, limitations, and future work.</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2026-06-03T18:36:44.883Z</dcterms:created>
  <dcterms:modified xsi:type="dcterms:W3CDTF">2026-06-03T18:36:44.883Z</dcterms:modified>
</cp:coreProperties>
</file>

<file path=docProps/custom.xml><?xml version="1.0" encoding="utf-8"?>
<Properties xmlns="http://schemas.openxmlformats.org/officeDocument/2006/custom-properties" xmlns:vt="http://schemas.openxmlformats.org/officeDocument/2006/docPropsVTypes"/>
</file>