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Before designing the previous-year (y0) features described in Section 3.2.3, the autocorrelation structure of the linearly detrended residuals was examined to determine which lags carry statistically significant serial dependence. This analysis serves two purposes: (1) it provides empirical justification for including y0 features at lag 1 (i.e. features from the immediately preceding growing season), and (2) it reveals longer-period cyclical structure that informs the CarenR_Dist_Lag variant evaluated in Chapter 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1"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The ACF analysis motivates two distinct feature families with different justifications. The y0 (lag-1) features, 15 of the 58 total features,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eccd127139ca6dcfd7594c2ea85fb64f9337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2026-06-05T09:36:18.858Z</dcterms:created>
  <dcterms:modified xsi:type="dcterms:W3CDTF">2026-06-05T09:36:18.858Z</dcterms:modified>
</cp:coreProperties>
</file>

<file path=docProps/custom.xml><?xml version="1.0" encoding="utf-8"?>
<Properties xmlns="http://schemas.openxmlformats.org/officeDocument/2006/custom-properties" xmlns:vt="http://schemas.openxmlformats.org/officeDocument/2006/docPropsVTypes"/>
</file>