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chapter describes the full data pipeline, from raw meteorological archives to the curated annual feature datasets used for rule discovery and walk-forward prediction,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datasets for both regions originate from two independent source streams that were prepared, cleaned, and ultimately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Daily meteorological records for the Douro region were sourced from the BCM base climate files maintained by the University of Porto's viticulture research group (Professor Mário Cunha). The raw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Stage 1 of the pipeline (script: 1_data_preparation_stage_1.R), the raw daily records were cleaned and five binary/threshold indicator variables were derived from the primary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Cold day,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Heat-stress day,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day,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Severe soil water stress,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Near-saturation, promotes disease, excessive vigour</w:t>
            </w:r>
          </w:p>
        </w:tc>
      </w:tr>
    </w:tbl>
    <w:p>
      <w:pPr>
        <w:spacing w:after="200" w:before="80"/>
        <w:jc w:val="center"/>
      </w:pPr>
      <w:r>
        <w:rPr>
          <w:rFonts w:ascii="Times New Roman" w:cs="Times New Roman" w:eastAsia="Times New Roman" w:hAnsi="Times New Roman"/>
          <w:i/>
          <w:iCs/>
          <w:sz w:val="20"/>
          <w:szCs w:val="20"/>
        </w:rPr>
        <w:t xml:space="preserve">Table 3.2. Binary threshold indicators derived from raw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Bud Break,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Flowering,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Start of Maturity (veraison),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Fruit Set,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 of Year of Harvest,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production series for RDD spans 1933–2022 (90 observations), but the feature construction starts at 1934 to allow for previous-year (y0) features,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3.2 Feature Engineering: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methodological contribution of the data pipeline is the transformation from 32,842 (RDD) and 29,902 (RVV) daily records into 59 annual agroclimatic features per region. This transformation is performed by script 2_ features creation.R and is anchored entirely on the phenological dates for each year. The logic is straightforward in principle but required extensive domain expertise and iterative refinement to implement correctly: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choice of which (stage × position × width × year) combinations to include was guided by agronomic knowledge of the critical development windows established in the literature review (Chapter 2) and by exploratory correlation analysis against the response variable. Not all possible combinations were included: the final 59 features represent those with either strong a priori agronomic justification or demonstrated empirical correlation with production in at least one of the two regions.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3.5 summarises the 59 features by variable family and their counts. The distribution reflects the relative importance of different variable types in the viticulture literature: temperature variables (tm, tn)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Vine canopy development,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&lt; 1.5× wilting point,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Number of days with rainfall &gt; 1 mm,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Days when soil water &gt; 90% field capacity,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Extreme heat events,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Frost events,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Night temperature at harvest,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(mean temperature in the 10 days before previous-year flowering): captures the thermal conditions governing inflorescence primordia formation in the prior season,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(soil saturation days in the 20 days after previous-year flowering): captures prior-year excess soil moisture during flowering,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continuous feature matrix (dataPrep_cont_dataset_*.csv, 59 columns × 89/80 rows) is used directly by M5Rules and RIPPER, which perform their own internal threshold finding. For CarenR, a separate discretised version of the dataset (dataPrep_dis_rule_dataset_*.csv) is produced by script 2_ features 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2_ features 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entire pipeline from Stage 1 through Stage 5 is reproducible by running run_all_pipelines.R, which sequences all scripts in order with consistent configuration parameters centralised in utils/config.R. Key configuration choices, detrend method (linear), CarenR support threshold (15%), significance threshold (p ≤ 0.10), minimum training fraction (80%), and feature selection strategy per variant, are documented in that file and were fixed before the final analysis run.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2026-06-04T16:06:04.466Z</dcterms:created>
  <dcterms:modified xsi:type="dcterms:W3CDTF">2026-06-04T16:06:04.466Z</dcterms:modified>
</cp:coreProperties>
</file>

<file path=docProps/custom.xml><?xml version="1.0" encoding="utf-8"?>
<Properties xmlns="http://schemas.openxmlformats.org/officeDocument/2006/custom-properties" xmlns:vt="http://schemas.openxmlformats.org/officeDocument/2006/docPropsVTypes"/>
</file>