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4. Goal 1: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4.1 CarenR: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After applying the significance threshold (KS p ≤ 0.10) and minimum support filter (≥ 15%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4.1.1 Douro (RDD):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Multi-year rule: moderate current-year soil water stress combined with a dry previous-year post-harvest window,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Dry flowering with bounded pre-veraison heat,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Combines post-flowering dryness with moderate pre-harvest soil water,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Four-condition rule combining all three primary signals,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 xml:space="preserve">Table 4.1. Top 10 CarenR rules for the Douro region (RDD), sorted by KS p-value. Mean Δ = mean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RDD rule set: (1) 46 of 48 rules point to ABOVE-trend production, an asymmetry that reflects the algorithm's finding that the positive signal in this dataset is structurally more consistent than the negative signal; the two below-trend rules (Rules 2 and 48) require an unusual combination of high LAI with high soil moisture that occurs in approximately 20% of years. (2) The rule set is organised around three recurring features, post-flowering wet days, pre-harvest soil water, and heat-stress day counts, with later rules being refinements of earlier ones through additional conditions. (3) The most significant rule (Rule 1) has support of 28.1%, covering approximately one in four years in the historical record, confirming it describes a recurrent rather than exceptional pattern.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4.1.2 Vinho Verde (RVV):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Low soil water deficit combined with absence of heat stress,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Cool flowering combined with previous-year soil saturation,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LAI at flowering as a predictor,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RVV rule set: (1) 19 of 20 rules point to BELOW-trend production, the inverse asymmetry from RDD. In a declining series, the majority of historically exceptional subgroups are years that fall below the already-declining trend. (2) Rule 4 (the sole above-trend rule, +311 mhl, support 25%) represents the largest absolute distributional shift in either region,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4.1.3 The Directional Inversion: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same feature, soil water at harvest (swa_hv_y1_b20),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4.2 LOESS Validation: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within-era signal,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CAUTION,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which focus on soil water and rainfall,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was applied to tertile-discretised production classes. CV accuracy: 42% RDD, 35% RVV (33% random baseline; κ = 0.06–0.19).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4.6. RIPPER rules for RVV. CV accuracy 35%.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RIPPER selects harvest temperature (RDD Rules 1–3), LAI at budburst and flowering (RDD Rule 2, RVV Rules 1–2), and soil water / rainfall at flowering (RVV Rules 1, 3),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4.4 M5Rules: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M5Rules collapsed to global linear models in both regions (no beneficial split found at minimum leaf size 4), producing 2 rules for RDD and 3 for RVV. CV R² = 0.004 (RDD), −0.07 (RVV),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(RDD Rule 2,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Consistent,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Carry-over,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Prior-year heat during ripening reduces current production,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 1 direction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the CarenR distributional finding: each additional mm of harvest soil water removes ~2.3 mhl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swa_hv_y1_b20 coefficient (−2.3 mhl/mm) is particularly informative: it quantifies the effect that CarenR describes distributionally. CarenR says "years with harvest soil water in [74–101 mm] have a significantly shifted production distribution (+121–192 mhl above trend)." M5Rules says "each additional mm of harvest soil water reduces production by 2.3 mhl linearly." The two descriptions are consistent: a 100 mm difference in harvest soil water corresponds to a 230 mhl difference in the M5Rules prediction, which aligns with CarenR's +121–192 mhl rule deviations. The regression and distributional approaches are detecting the same underlying structure through different mathematical lenses.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(RVV Rule 1,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Rules 3,16,19 (high post-fl soil water → below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Consistent, high LAI direction matches CarenR's RVV dominant signal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large coefficient: each unit increase in budburst LAI removes ~2064 mhl; confirms LAI family importance</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4.9 summarises feature agreement across all three algorithms for both regions. A feature confirmed by all three methods: CarenR's distributional test, RIPPER's information gain, and M5Rules' MSE minimisation: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three features confirmed by all three methods, harvest soil water, the LAI family, and previous-year summer temperature,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4.6 Feature Frequency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Counting how frequently each feature variable appears across all rule conditions, regardless of bin interval, reveals the structural importance of each variable to CarenR's induction. Table 4.10 shows the top features by frequency.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appearances
(of 133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48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Structural backbone, present in majority of rules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Second backbone, post-maturity dryness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Thermal moderation, absent extreme heat at flowering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moderation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Wider window variant of rank 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Post-flowering dryness: RIPPER and M5Rules do not select this</w:t>
            </w:r>
          </w:p>
        </w:tc>
      </w:tr>
    </w:tbl>
    <w:p>
      <w:pPr>
        <w:spacing w:after="200" w:before="80"/>
        <w:jc w:val="center"/>
      </w:pPr>
      <w:r>
        <w:rPr>
          <w:rFonts w:ascii="Times New Roman" w:cs="Times New Roman" w:eastAsia="Times New Roman" w:hAnsi="Times New Roman"/>
          <w:i/>
          <w:iCs/>
          <w:sz w:val="20"/>
          <w:szCs w:val="20"/>
        </w:rPr>
        <w:t xml:space="preserve">Table 4.10. Top 6 features by condition frequency across all 48 RDD CarenR rules.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appearances
(of 65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20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Dominant backbone, low heat post-veraison characterises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Pre-veraison heat absence, second backbone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heat absence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Same variable as RDD rank 1, opposite 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days at flowering, cool Atlantic climate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soil saturation, carry-over signal</w:t>
            </w:r>
          </w:p>
        </w:tc>
      </w:tr>
    </w:tbl>
    <w:p>
      <w:pPr>
        <w:spacing w:after="200" w:before="80"/>
        <w:jc w:val="center"/>
      </w:pPr>
      <w:r>
        <w:rPr>
          <w:rFonts w:ascii="Times New Roman" w:cs="Times New Roman" w:eastAsia="Times New Roman" w:hAnsi="Times New Roman"/>
          <w:i/>
          <w:iCs/>
          <w:sz w:val="20"/>
          <w:szCs w:val="20"/>
        </w:rPr>
        <w:t xml:space="preserve">Table 4.11. Top 6 features by condition frequency across all 20 RVV CarenR rules.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4.7 Rule Set Structure: Overlap and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Of the 1,128 unique rule pairs in the 48-rule RDD set, 730 (64.7%) share at least one feature variable. This high overlap is structurally expected: when a small number of features (Table 4.10 shows the top 6 account for the majority of appearances), many rules will share backbone conditions. The overlap is informative rather than redundant: rules that share one backbone condition but differ in their second condition describe different sub-regimes within the same broad pattern, providing a richer characterisation than any single rule alone. Of the 48 RDD rules, 44 (92%) contain at least one condition-bin combination unique to that rule, confirming that the set is not simply multiple copies of the same subgroup. The RVV set (20 rules) shows higher structural redundancy, 9 of 20 rules (45%) are subsets of another rule, reflecting that CarenR is detecting multiple window-width variants of the same core pattern (low heat + high soil moisture → below trend) rather than discovering genuinely distinct subgroups.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4.8 Summary: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a further indication that the KS-test criterion is less susceptible to smooth era co-trending than simple correlation.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2026-06-05T09:07:03.115Z</dcterms:created>
  <dcterms:modified xsi:type="dcterms:W3CDTF">2026-06-05T09:07:03.115Z</dcterms:modified>
</cp:coreProperties>
</file>

<file path=docProps/custom.xml><?xml version="1.0" encoding="utf-8"?>
<Properties xmlns="http://schemas.openxmlformats.org/officeDocument/2006/custom-properties" xmlns:vt="http://schemas.openxmlformats.org/officeDocument/2006/docPropsVTypes"/>
</file>