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6. Discussion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draws together the findings from Chapters 4 and 5 to explain why rule-based machine learning succeeds at pattern discovery but falls short of reliable prediction in this domain. Four questions are addressed: (1) why the same rules that explain historical production cannot reliably predict future production; (2) why the two technical decisions embedded in the pipeline are in fundamental tension; (3) why the two regions diverge so markedly in their CarenR performance; and (4) what structural properties of the data would need to change for rule-based prediction to succeed.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6.1 The Asymmetry Between Discovery and Prediction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finding of this thesis is an asymmetry between two related but distinct tasks: discovering patterns that explain historical production, and predicting future production from those patterns. Goal 1 succeeds: 48 rules for RDD and 20 for RVV, pointing to harvest-period soil water and flowering-phase moisture as primary drivers, validated by LOESS detrending to be genuine within-era effects. Goal 2 does not succeed in aggregate. Understanding why requires examining the different requirements of the two tasks.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Pattern discovery requires only that a statistical association exists, that years satisfying a given condition have a systematically different production distribution from years that do not. With |r| ≈ 0.47 between the top climate features and production residuals, even under LOESS detrending that removes era confounds, such an association clearly exists. CarenR's KS-test framework is well suited to detecting distributional differences at this signal strength: subgroup induction on 80–89 years of data with a 15% support threshold provides adequate power to identify the most prominent associations.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Prediction requires something harder: the association must be strong enough that knowing a year's climate conditions reduces the expected error below what would be obtained by simply predicting the training median. With |r| ≈ 0.47, climate features explain approximately 22% of the variance in production residuals. The remaining 78% is unexplained variance, driven by factors not in the feature set (severe weather events within the growing season, vine disease outbreaks, localised frost, logistical constraints on harvest) or by measurement noise. In a series with coefficient of variation ≈ 47%, the signal-to-noise ratio is too low for a rule-based classifier to overcome year-to-year noise in held-out prediction, even though the identified patterns are real.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asymmetry, a genuine agroclimatic association that is too weak for reliable prediction, is not a failure of the methodology. It is a property of the system being studied, and quantifying it precisely is a contribution of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6.2 The Two-Decision Trade-off</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prediction pipeline decomposes into two sequential decisions whose demands pull in opposite directions (Section 3.3). Decision 1 (trend modelling) determines how large the test-period residuals are: a better-fitting trend leaves smaller residuals and a lower Naive_Median baseline. Decision 2 (climate signal extraction) determines whether a model can predict those residuals better than zero: it requires structured, non-trivial residuals to exploit.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LOESS detrending experiment makes this trade-off concrete. In the RVV, LOESS reduces the Naive_Median baseline from 140 to approximately 90 mhl, a 36% improvement in Decision 1. But LOESS simultaneously reduces test residuals to magnitudes too small for CarenR to form stable rules, suppressing rule induction to zero. The improvement in Decision 1 quality is achieved by removing the very signal that Decision 2 depends 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RDD, the linear trend is already better calibrated to the Douro's plateau-shaped production trajectory than LOESS, which would overfit the training tail and inflate test residuals to 290 mhl. Here, linear detrending both provides the better Decision 1 floor and preserves sufficient structured residual for Decision 2. The result is the closest CarenR approach to the naive baseline observed in this study (189 vs 184 mhl).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 As long as time is the only detrending covariate, any increase in trend flexibility competes directly with residual signal availability.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6.3 Why the Two Regions Diverge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3% gap between CarenR and the naive baseline in RDD versus the 22% gap in RVV reflects a structural difference in the underlying data, not just a difference in degree.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Douro's production history is structurally less confounded. The Douro DOC for table wines was established in 1979, and Port production is regulated by an annual administrative quota (the benefício system), which partially decouples observed production from pure climate variation. The region's production increased gradually across the study period (+80%), creating a smoother structural trend that linear detrending captures adequately. As a result, linear detrend residuals in RDD contain a mixture of genuine climate signal and modest structural residual, with the climate component sufficiently prominent for CarenR to exploit in era-balanced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Vinho Verde's production decline of 65% over the study period was driven primarily by structural factors: EU accession (1986) and the Common Agricultural Policy brought grubbing-up subsidies and quality standards that penalised the region's traditional high-yield pergola systems; rural exodus reduced the number of active small producers; and conversion to lower-yield espalier training reduced per-hectare output independently of climate. These transitions were concentrated in the 1980s–2000s, producing a non-linear structural break that neither linear nor LOESS detrending can fully separate from the inter-annual climate signal. The RVV linear detrend residuals therefore contain a larger structural residual component that contaminates the climate signal available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era-composition analysis (Section 5.3) further illustrates this divergence. As more post-1990 data enters the RVV training set, CarenR's performance worsens rather than improves, the opposite of the RDD pattern. This indicates that the rules CarenR discovers for RVV are increasingly tuned to era-specific statistical patterns that do not generalise to test years from the same modern era. The structural disruption of Vinho Verde production has been so large and so rapid that no stable climate-production relationship emerges from within any single 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RDD: Douro</w:t>
            </w:r>
          </w:p>
        </w:tc>
        <w:tc>
          <w:tcPr>
            <w:tcW w:type="dxa" w:w="2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RVV: Vinho Verde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(gradual)</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(structural break)</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confound is stronger and harder to detrend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 confound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rules are more era-contaminated in RVV</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effect within era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Visible (|r|~0.47 survives LOESS)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magnitude but overwhelmed by structural noise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climate signal; different noise floor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performance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gap, wins in 5/18 scenarios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gap, 0/16 wins, rules harmful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noise eliminates any climate advantage in RVV</w:t>
            </w:r>
          </w:p>
        </w:tc>
      </w:tr>
    </w:tbl>
    <w:p>
      <w:pPr>
        <w:spacing w:after="200" w:before="80"/>
        <w:jc w:val="center"/>
      </w:pPr>
      <w:r>
        <w:rPr>
          <w:rFonts w:ascii="Times New Roman" w:cs="Times New Roman" w:eastAsia="Times New Roman" w:hAnsi="Times New Roman"/>
          <w:i/>
          <w:iCs/>
          <w:sz w:val="20"/>
          <w:szCs w:val="20"/>
        </w:rPr>
        <w:t xml:space="preserve">Table 6.1. Structural explanation of the RDD vs RVV performance divergence.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6.4 Why the Walk-Forward Metric Penalises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weighted MAE metric assigns weight proportional to test-set size. In an expanding-window design, early scenarios have the largest test sets. Scenario 1 for RDD covers 18 test years; 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interaction is not a deficiency of the metric, weighting by test-set size correctly gives more influence to estimates based on more observations. However, it means that the aggregate weighted MAE is sensitive to the era-composition structure of the time series. A dataset in which the modern era constituted a larger fraction of the study period would allocate more weight to scenarios where CarenR is competitive, potentially reversing the aggregate ranking. As the Portuguese wine industry accumulates additional years of observation in the modern (post-1990) era, the era-balanced window would arrive earlier in the walk-forward sequence and carry more aggregate weight.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6.5 Structural Covariates as a Path Forward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analysis throughout this thesis points to a single underlying limitation: the detrending step uses time as its sole covariate, which conflates climate-driven variation with structural industry changes. The most promising methodological extension is to incorporate structural covariates, vineyard planted area, number of certified producers, annual Port benefício quota, and proportion of espalier vs. pergola training, directly into the detrending model.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structural detrending model of the form:</w:t>
      </w:r>
    </w:p>
    <w:p>
      <w:pPr>
        <w:spacing w:after="80" w:before="80"/>
      </w:pPr>
      <w:r>
        <w:t xml:space="preserve"/>
      </w:r>
    </w:p>
    <w:p>
      <w:pPr>
        <w:spacing w:after="120" w:before="12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t = α + β₁·t + β₂·area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β₃·quota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would separate the structural production trajectory (captured by area and quota covariates) from the inter-annual climate residual (ε_t), leaving a cleaner signal for CarenR to exploit. The era confound would be substantially reduced because the structural transitions that create era boundaries would be explicitly modelled rather than proxied by the time trend. This approach is analogous to the use of normalised production (production per hectare of planted vineyard) in some agronomic studies, which removes the area effect from the production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Such data are available in principle from IVV (Instituto da Vinha e do Vinho) and IVDP (Instituto dos Vinhos do Douro e do Porto) for the modern period, though the historical coverage for pre-1986 years may be incomplete. Assembling a full structural covariate time series for 1934–2022 (RDD) and 1942–2021 (RVV) would require archival research and is left as the primary recommendation for future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6.6 Relation to Prior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finding that rule-based methods can discover interpretable agroclimatic patterns but fail to outperform naive baselines in small samples is consistent with the broader forecasting literature on agricultural yield prediction. Santos et al. (various) and Fraga et al. (2012, 2014) have demonstrated that climate indices derived from the growing season are correlated with wine quality and quantity in Portuguese regions, but the predictive R² values reported in those studies (typically 0.35–0.55 for regional aggregates) are broadly consistent with the |r| ≈ 0.47 observed here, suggesting that the signal level is an intrinsic property of the system rather than a limitation of the current feature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two-decision framing proposed in this thesis offers a more precise diagnostic than the summary “model beats baseline or not.” Decomposing prediction error into trend quality and climate signal extraction pinpoints where the bottleneck lies: in this case, Decision 1 (structural detrending) rather than Decision 2, given that the rule-learning step already approaches the limit set by the available climate signal.</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2026-06-03T11:34:33.248Z</dcterms:created>
  <dcterms:modified xsi:type="dcterms:W3CDTF">2026-06-03T11:34:33.249Z</dcterms:modified>
</cp:coreProperties>
</file>

<file path=docProps/custom.xml><?xml version="1.0" encoding="utf-8"?>
<Properties xmlns="http://schemas.openxmlformats.org/officeDocument/2006/custom-properties" xmlns:vt="http://schemas.openxmlformats.org/officeDocument/2006/docPropsVTypes"/>
</file>