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Wine production is among the most climate-sensitive agricultural activities in Europe. Annual yield at a regional scale is governed by a complex interaction of meteorological conditions during the growing season — temperature, rainfall, soil water balance, and frost events —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At the same time, the agroclimatic signal in annual production data is weak relative to year-to-year noise. Regional production aggregates absorb the decisions of thousands of individual producers, vineyard-level heterogeneity in soil type, altitude, and training system, and the effects of localised weather events that are invisible in regional climate indices. This high noise level has historically limited the predictive accuracy of statistical models applied to wine production forecasting, and motivates the use of interpretable machine learning methods that aim to extract the most robust and actionable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 not merely to forecast the next value —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 the proportion of historical years in which the condition held —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 Explainability: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 Prediction: </w:t>
      </w:r>
      <w:r>
        <w:rPr>
          <w:rFonts w:ascii="Times New Roman" w:cs="Times New Roman" w:eastAsia="Times New Roman" w:hAnsi="Times New Roman"/>
          <w:sz w:val="24"/>
          <w:szCs w:val="24"/>
        </w:rPr>
        <w:t xml:space="preserve">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xml:space="preserve">•  RQ4: If rule-based prediction fails in aggregate, under what conditions — if any —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thesis focuses exclusively on annual regional production aggregates measured in thousands of hectolitres (mhl). Sub-regional, vineyard-level, or quality-related outcomes are outside the scope of the study. The feature set is derived from regional climate indices and a vine phenological model; field measurements of vine physiology are not available and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rule-learning algorithms evaluated are CarenR (distributional rules), RIPPER (classification rules), and M5Rules (piecewise linear model trees), together with naive baselines and a Decision Tree regressor as a non-rule comparator. Deep learning, ensemble, and Gaussian process methods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while aggregate prediction does not, examines the structural divergence between the two regions, and outlines directions for improvement. Chapter 7 presents conclusions, contributions, limitations, and future work.</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2026-06-03T18:36:44.883Z</dcterms:created>
  <dcterms:modified xsi:type="dcterms:W3CDTF">2026-06-03T18:36:44.883Z</dcterms:modified>
</cp:coreProperties>
</file>

<file path=docProps/custom.xml><?xml version="1.0" encoding="utf-8"?>
<Properties xmlns="http://schemas.openxmlformats.org/officeDocument/2006/custom-properties" xmlns:vt="http://schemas.openxmlformats.org/officeDocument/2006/docPropsVTypes"/>
</file>