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PORTO UNIVERSITY</w:t>
      </w:r>
    </w:p>
    <w:p>
      <w:pPr>
        <w:jc w:val="center"/>
      </w:pPr>
      <w:r>
        <w:rPr>
          <w:sz w:val="24"/>
        </w:rPr>
        <w:t>Faculty of Engineering of the University of Porto</w:t>
      </w:r>
    </w:p>
    <w:p/>
    <w:p/>
    <w:p/>
    <w:p/>
    <w:p>
      <w:pPr>
        <w:jc w:val="center"/>
      </w:pPr>
      <w:r>
        <w:rPr>
          <w:b/>
          <w:sz w:val="36"/>
        </w:rPr>
        <w:t>Sub-Group Discovery and Meaningful Distribution Rules</w:t>
        <w:br/>
        <w:t>in Time Series for Wine Production Forecasting</w:t>
      </w:r>
    </w:p>
    <w:p/>
    <w:p>
      <w:pPr>
        <w:jc w:val="center"/>
      </w:pPr>
      <w:r>
        <w:rPr>
          <w:i/>
          <w:sz w:val="26"/>
        </w:rPr>
        <w:t>MSc Thesis in Data Science and Engineering</w:t>
      </w:r>
    </w:p>
    <w:p/>
    <w:p/>
    <w:p/>
    <w:p/>
    <w:p/>
    <w:p>
      <w:pPr>
        <w:jc w:val="center"/>
      </w:pPr>
      <w:r>
        <w:rPr>
          <w:b/>
          <w:sz w:val="26"/>
        </w:rPr>
        <w:t>Hugo Nogueira</w:t>
      </w:r>
    </w:p>
    <w:p>
      <w:pPr>
        <w:jc w:val="center"/>
      </w:pPr>
      <w:r>
        <w:rPr>
          <w:sz w:val="24"/>
        </w:rPr>
        <w:t>up202103617</w:t>
      </w:r>
    </w:p>
    <w:p/>
    <w:p/>
    <w:p/>
    <w:p>
      <w:pPr>
        <w:jc w:val="center"/>
      </w:pPr>
      <w:r>
        <w:rPr>
          <w:sz w:val="24"/>
        </w:rPr>
        <w:t>Supervised by:</w:t>
      </w:r>
    </w:p>
    <w:p>
      <w:pPr>
        <w:jc w:val="center"/>
      </w:pPr>
      <w:r>
        <w:rPr>
          <w:sz w:val="24"/>
        </w:rPr>
        <w:t>Prof. João Pedro Mendes Moreira (FEUP)</w:t>
      </w:r>
    </w:p>
    <w:p>
      <w:pPr>
        <w:jc w:val="center"/>
      </w:pPr>
      <w:r>
        <w:rPr>
          <w:sz w:val="24"/>
        </w:rPr>
        <w:t>Prof. Mário Campos Cunha (FCUP)</w:t>
      </w:r>
    </w:p>
    <w:p/>
    <w:p/>
    <w:p/>
    <w:p>
      <w:pPr>
        <w:jc w:val="center"/>
      </w:pPr>
      <w:r>
        <w:rPr>
          <w:sz w:val="24"/>
        </w:rPr>
        <w:t>June 2026</w:t>
      </w:r>
    </w:p>
    <w:p>
      <w:pPr>
        <w:pageBreakBefore w:val="1"/>
      </w:pPr>
    </w:p>
    <w:p>
      <w:pPr>
        <w:pStyle w:val="Heading1"/>
        <w:spacing w:after="240" w:before="360"/>
      </w:pPr>
      <w:r>
        <w:rPr>
          <w:rFonts w:ascii="Times New Roman" w:cs="Times New Roman" w:eastAsia="Times New Roman" w:hAnsi="Times New Roman"/>
          <w:b/>
          <w:bCs/>
          <w:sz w:val="28"/>
          <w:szCs w:val="28"/>
        </w:rPr>
        <w:t xml:space="preserve">Abstract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evaluates the CarenR distributional subgroup discovery framework as a rule-based machine learning approach for two complementary tasks on real-world agricultural time series: interpretable pattern extraction (Goal 1) and walk-forward prediction (Goal 2). The application domain is annual wine production forecasting for two contrasting Portuguese wine regions, the Douro Demarcated Region (RDD, 89 years, 1934–2022) and the Vinho Verde Region (RVV, 80 years, 1942–2021). The two regions serve as a natural comparative experiment, same pipeline, same algorithms, different structural histories and climate regimes, to evaluate when and why the method succeeds or fails under different signal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central methodological contribution is a two-decision decomposition framework that separates prediction error into trend quality (Decision 1: how well the training trend extrapolates to test years) and climate signal extraction (Decision 2: whether a rule-based model can predict detrended residuals better than the training median). The framework identifies which element of the pipeline is the bottleneck, a distinction aggregate metrics alone cannot reveal. The evaluation uses an expanding-window walk-forward protocol with 18 scenarios for RDD and 16 for RVV, with all preprocessing, detrending, feature discretisation, feature selection, performed within each training fold to prevent leakage. Seventeen CarenR variants are evaluated as a structured sensitivity analysis of feature selection strategies.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extraction) is achieved. CarenR's KS-test-based subgroup induction discovers 48 statistically validated rules for the Douro and 20 for Vinho Verde. Feature frequency analysis shows that harvest-period soil water appears in 54% of Douro rules: the most consistently selected variable across all 48 rules: while LAI at harvest dominates the Vinho Verde rule set (present in all 20 rules). LOESS detrending validates that the selected features carry genuine within-era signal (correlations drop by ~8% after era-trend removal), confirming that CarenR extracts real structure rather than era-membership artefacts. A cross-algorithm comparison shows that RIPPER and M5Rules independently converge on the same variable families, validating the robustness of CarenR's feature selection across three different optimisation criteria.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(walk-forward prediction) is not achieved in aggregate. No rule-based model consistently outperforms the Naive_Median baseline across the full evaluation sequence. The best CarenR variant falls 3% behind the baseline in RDD (189 vs 184 mhl weighted MAE; Wilcoxon p = 0.468, not significant) and 22% behind in RVV (172 vs 140 mhl; rules actively harmful when they fire, p = 0.004). A post-hoc era-composition analysis: conducted after observing the results and therefore exploratory: suggests CarenR consistently outperforms the baseline in RDD when training data reaches ~29% post-1990 representation (5 of 5 consecutive scenarios, binomial p = 0.031), pointing to a conditional regime where rule-based prediction could succeed. The two-decision framework explains the failure: the demands of accurate trend modelling and sufficient residual signal for rule induction are in fundamental tension under a time-only detrending covariate.</w:t>
      </w:r>
    </w:p>
    <w:p>
      <w:pPr>
        <w:spacing w:after="80" w:before="80"/>
      </w:pPr>
      <w:r>
        <w:t xml:space="preserve"/>
      </w:r>
    </w:p>
    <w:p>
      <w:pPr>
        <w:spacing w:after="120"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distributional subgroup discovery, CarenR, rule-based machine learning, walk-forward validation, time series evaluation, two-decision decomposition, feature selection, wine production forecasting, non-stationarity, era confound</w:t>
      </w:r>
    </w:p>
    <w:p>
      <w:pPr>
        <w:pageBreakBefore w:val="1"/>
      </w:pPr>
    </w:p>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Wine production is among the most climate-sensitive agricultural activities in Europe. Annual yield at a regional scale is governed by a complex interaction of meteorological conditions during the growing season, temperature, rainfall, soil water balance, and frost events,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At the same time, the agroclimatic signal in annual production data is weak relative to year-to-year noise. Regional production aggregates absorb the decisions of thousands of individual producers, vineyard-level heterogeneity in soil type, altitude, and training system, and the effects of localised weather events that are invisible in regional climate indices. This high noise level has historically limited the predictive accuracy of statistical models applied to wine production forecasting, and motivates the use of interpretable machine learning methods that aim to extract the most robust and actionable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not merely to forecast the next value,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the proportion of historical years in which the condition held,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(Explainability):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(Prediction): </w:t>
      </w:r>
      <w:r>
        <w:rPr>
          <w:rFonts w:ascii="Times New Roman" w:cs="Times New Roman" w:eastAsia="Times New Roman" w:hAnsi="Times New Roman"/>
          <w:sz w:val="24"/>
          <w:szCs w:val="24"/>
        </w:rPr>
        <w:t>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RQ4: If rule-based prediction fails in aggregate, under what conditions, if any,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thesis focuses exclusively on annual regional production aggregates measured in thousands of hectolitres (mhl). Sub-regional, vineyard-level, or quality-related outcomes are outside the scope of the study. The feature set is derived from regional climate indices and a vine phenological model; field measurements of vine physiology are not available and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rule-learning algorithms evaluated are CarenR (distributional rules), RIPPER (classification rules), and M5Rules (piecewise linear model trees), together with naive baselines and a Decision Tree regressor as a non-rule comparator. Deep learning, ensemble, and Gaussian process methods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while aggregate prediction does not, examines the structural divergence between the two regions, and outlines directions for improvement. Chapter 7 presents conclusions, contributions, limitations, and future work.</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reviews the foundations of the thesis across three domains: the agroclimatic drivers of wine production in Portuguese wine regions; quantitative approaches to yield prediction, from classical regression to modern machine learning; and the data mining methods, subgroup discovery and distribution rules,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has declined dramatically, from approximately 2,300 mhl in the 1960s to around 800 mhl today (−65%). This structural collapse is primarily attributed to EU accession in 1986 (grubbing-up subsidies, quality standards penalising high-yield bulk production), rural exodus, and the conversion from high-yield pergola to lower-yield espalier training systems.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the embryonic structures that will become grape clusters,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not merely to forecast,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Subgroup discovery (SGD) is a descriptive induction technique that identifies subsets of a dataset, defined by conjunctions of attribute-value conditions, within which the distribution of a target variable is statistically exceptional relative to the overall population (Herrera et al., 2011). Unlike classification, which aims to correctly assign every observation to a class, SGD aims to find the most interesting local patterns: subgroups that are both statistically significant and sufficiently large to be meaningful. The field was formalised by Wrobel (1997) and Klösgen (1996). Lavrac et al. (2004) extended CN2 to subgroup discovery (CN2-SD); Kavšek and Lavrac (2006) adapted the Apriori algorithm to SGD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SGD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(Contrast Association Rules for Extraordinary Nodes, implemented in R)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algorithmic pipeline has five steps. First, continuous input features are discretised into equal-frequency bins (quartiles by default) within each training fold, ensuring uniform bin occupancy and preventing leakage of test-set information. Second, a configurable feature selection step reduces the input space to the most informative features before rule search, this is the dimension where the 10 CarenR variants evaluated in this thesis differ from one another. Third, CarenR performs a beam search over conjunctions of feature-bin conditions, evaluating each candidate subgroup using a two-sample KS test against the global training distribution. Fourth, rules are filtered by significance (p ≤ 0.10) and minimum support (≥ 15% of training observations) to retain only patterns that are both statistically sound and broadly applicable. Fifth, at prediction time, matching rules' subgroup means are aggregated (support-weighted in some variants); if no rule fires, the model falls back to the training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differs from RIPPER and M5Rules in what it optimises: it asks whether the shape of the production distribution shifts significantly within a subgroup, rather than assigning class labels or minimising squared error. A feature that reliably shifts the distribution mean, even when the distribution remains wide and overlapping with the global one, will be detected by CarenR but not by classification or regression criteria. This is why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has been applied in agricultural settings in previous work by the research group at the University of Porto (Moreira et al.),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Jorge et al. 2006: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2. Literature Review (Additions: Sections 2.8 and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two new sections for Chapter 2: Section 2.8 on Portuguese viticulture industry structure and policy, and Section 2.9 on time series properties and their implications for model evaluation. Both sections fill gaps identified in the existing literature review.</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structural production trends observed in the two study regions, a persistent increase in the Douro and a sharp decline in Vinho Verde,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2.8.1 Douro Region: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second major structural driver of RDD production growth was the creation of the Douro DOC (Denominação de Origem Controlada)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2.8.2 Vinho Verde Region: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region's dramatic production decline from the 1960s to the present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Portugal's accession to the European Economic Community (now European Union) in January 1986 triggered a sequence of structural adjustments that profoundly reshaped the RVV. The Common Agricultural Policy (CAP) introduced grubbing-up subsidies, payments to farmers who permanently removed vineyard plantings,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the Minho has historically had some of the highest incidences of micro-holding in Portugal, with individual parcels often below 0.1 hectares, made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abrupt changes in the level or trend that cannot be attributed to normal year-to-year variability. In the RVV series, the most prominent structural break occurs in the mid-1980s, coinciding with EU accession and the subsequent grubbing-up subsidies. In the RDD series, the structural break associated with the Douro DOC creation in 1979 is more gradual but identifiable in the decade-level averages (Appendix B, Table B.2).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standard approach to model evaluation in machine learning, k-fold cross-validation with random assignment of observations to folds,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central benchmark throughout this thesis is the Naive_Median baseline,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Naive_Median MAE can be interpreted as the minimum error achievable by any model that ignores the climate features entirely,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2.2.3 The Two-Year Vine Development Cycle: Why Previous-Year Data Matter</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defining property of the grapevine that distinguishes it from annual crops is its perennial nature: physiological processes in one growing season directly determine yield potential in the following season. Figure 2.1 illustrates the two-year development cycle that underpins the inclusion of previous-year (y0) features in the modelling pipeline.</w:t>
      </w:r>
    </w:p>
    <w:p>
      <w:pPr>
        <w:spacing w:after="60" w:before="60"/>
      </w:pPr>
      <w:r>
        <w:t xml:space="preserve"/>
      </w:r>
    </w:p>
    <w:p>
      <w:pPr>
        <w:spacing w:after="80" w:before="200"/>
        <w:jc w:val="center"/>
      </w:pPr>
      <w:r>
        <w:drawing>
          <wp:inline distT="0" distB="0" distL="0" distR="0">
            <wp:extent cx="5105400" cy="2038350"/>
            <wp:effectExtent t="0" r="0" b="0" l="0"/>
            <wp:docPr id="1" name="fig_grapevine_cycle.png" descr="fig_grapevine_cycle.png" title="fig_grapevin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105400" cy="2038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2.1. The two-year grapevine development cycle. The carry-over mechanisms (orange arrows) connect previous-year (y0, blue lane) conditions to current-year (y1, green lane) yield outcomes: (1) inflorescence primordia formed at flowering in Year N−1 determine the number of bunches in Year N; (2) carbohydrate reserves built during the Year N−1 harvest period govern shoot vigour and reproductive investment in Year N. Feature labels (dashed connectors) show the specific model variables extracted at each critical window.</w:t>
      </w:r>
    </w:p>
    <w:p>
      <w:pPr>
        <w:spacing w:after="120" w:before="120" w:line="360"/>
        <w:jc w:val="both"/>
      </w:pPr>
      <w:r>
        <w:rPr>
          <w:rFonts w:ascii="Times New Roman" w:cs="Times New Roman" w:eastAsia="Times New Roman" w:hAnsi="Times New Roman"/>
          <w:sz w:val="24"/>
          <w:szCs w:val="24"/>
        </w:rPr>
        <w:t>Two carry-over mechanisms are particularly important for the feature design used in this thesis. First, inflorescence primordia, the embryonic structures that will become grape clusters in the following year, are initiated during the spring and early summer of the prior growing season. The thermal conditions at the time of primordia formation (captured by tm_fl_y0 and tm_bb_y0 features) directly determine how many primordia differentiate into productive inflorescences rather than tendrils, setting an upper bound on current-year bunch number that cannot be altered by current-year climate. Second, the carbohydrate reserves accumulated during the prior year's harvest-to-dormancy period (captured by swa_hv_y0 and tn_hv_y0 features) determine the vine's reproductive investment in the current season: vines that finished the prior season in water or thermal stress have depleted reserves and redirect more assimilates to vegetative recovery, reducing berry development relative to shoot growth.</w:t>
      </w:r>
    </w:p>
    <w:p>
      <w:pPr>
        <w:spacing w:after="60" w:before="60"/>
      </w:pPr>
      <w:r>
        <w:t xml:space="preserve"/>
      </w:r>
    </w:p>
    <w:p>
      <w:pPr>
        <w:spacing w:after="120" w:before="120" w:line="360"/>
        <w:jc w:val="both"/>
      </w:pPr>
      <w:r>
        <w:rPr>
          <w:rFonts w:ascii="Times New Roman" w:cs="Times New Roman" w:eastAsia="Times New Roman" w:hAnsi="Times New Roman"/>
          <w:sz w:val="24"/>
          <w:szCs w:val="24"/>
        </w:rPr>
        <w:t>The practical consequence for modelling is that any dataset covering only the current growing season is fundamentally incomplete for predicting annual wine production. A model that lacks y0 features will have access to only a subset of the biologically relevant information. The 15 previous-year features included in the dataset (25% of the 58-feature total, as shown in Figure D.1) are not arbitrary additions but represent the two physiological pathways, primordia formation and carbohydrate reserves, through which the prior season materially constrains current-year yield potential. This is confirmed empirically: the CarenR rule that produces the largest Douro production deviation (+192 mhl, Rule 4 in Table 4.1) explicitly combines a current-year soil water condition with a previous-year post-harvest dryness condition, demonstrating that the multi-year mechanism is detectable at the distributional level.</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Three rule-learning algorithms were evaluated, representing three fundamentally different approaches to extracting interpretable patterns from the same data. Understanding how each algorithm works internally, and specifically what question it is designed to answer,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Very high,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Medium: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3.4.1 CarenR: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implements the CAREN (Contrast Association Rules for Extraordinary Nodes) framework,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Most rule-learning algorithms ask: "what value does this observation have?" CarenR asks a different question: "is there a subgroup of observations, defined by a conjunction of input feature conditions,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the entire distributional shape is different,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Feature discretisation. </w:t>
      </w:r>
      <w:r>
        <w:rPr>
          <w:rFonts w:ascii="Times New Roman" w:cs="Times New Roman" w:eastAsia="Times New Roman" w:hAnsi="Times New Roman"/>
          <w:sz w:val="24"/>
          <w:szCs w:val="24"/>
        </w:rPr>
        <w:t xml:space="preserve">CarenR requires discrete (ordinal) input features. Before rule induction, each continuous climate feature is independently discretised into four equal-frequency bins (quartiles) using the training set. Equal-frequency binning ensures that each bin contains approximately the same number of training observations, avoiding sparse bins at extreme values that would make the KS test unreliable. For example, the feature swa_hv_y1_b20 (soil water at harvest) might be discretised into bins [20–74 mm], [74–101 mm], [101–152 mm], [152–350 mm], each containing approximately 22 of the 89 RDD training observations. Crucially, bin boundaries are computed exclusively on the training fold in each walk-forward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Feature selection. </w:t>
      </w:r>
      <w:r>
        <w:rPr>
          <w:rFonts w:ascii="Times New Roman" w:cs="Times New Roman" w:eastAsia="Times New Roman" w:hAnsi="Times New Roman"/>
          <w:sz w:val="24"/>
          <w:szCs w:val="24"/>
        </w:rPr>
        <w:t xml:space="preserve">With 59 candidate features, each discretised into 4 bins, the full itemset search space is combinatorially large. A feature selection step reduces the feature set before rule induction, retaining only the most informative features. This thesis evaluates several selection strategies (described in Table 3.3 below) as distinct CarenR variants. The primary strategies are η²-based selection (which measures the association between each discretised feature and the discretised response using the ANOVA effect size η²), Pearson correlation selection (|r| above median), and support-filtered Pearson selection (which additionally requires that each bin of a feature contains at least a minimum fraction of the training data). The feature selection step is also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Rule induction via subgroup search. </w:t>
      </w:r>
      <w:r>
        <w:rPr>
          <w:rFonts w:ascii="Times New Roman" w:cs="Times New Roman" w:eastAsia="Times New Roman" w:hAnsi="Times New Roman"/>
          <w:sz w:val="24"/>
          <w:szCs w:val="24"/>
        </w:rPr>
        <w:t xml:space="preserve">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in the training set satisfying all conditions are identified, and a two-sample Kolmogorov–Smirnov (KS) test is performed comparing the target distribution in the subgroup against the global training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The Kolmogorov–Smirnov test. </w:t>
      </w:r>
      <w:r>
        <w:rPr>
          <w:rFonts w:ascii="Times New Roman" w:cs="Times New Roman" w:eastAsia="Times New Roman" w:hAnsi="Times New Roman"/>
          <w:sz w:val="24"/>
          <w:szCs w:val="24"/>
        </w:rPr>
        <w:t xml:space="preserve">The KS test is a non-parametric statistical test that compares two empirical cumulative distribution functions (ECDFs). Given a subgroup S of n_S observations and the global training set of n_T observations,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where F_S(x) is the empirical CDF of the target in the subgroup and F_T(x) is the empirical CDF in the global set. A large D indicates that the two distributions are far apart,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Support filter. </w:t>
      </w:r>
      <w:r>
        <w:rPr>
          <w:rFonts w:ascii="Times New Roman" w:cs="Times New Roman" w:eastAsia="Times New Roman" w:hAnsi="Times New Roman"/>
          <w:sz w:val="24"/>
          <w:szCs w:val="24"/>
        </w:rPr>
        <w:t>A statistically significant rule that covers only two or three observations (very low support) is not useful: it describes a pattern too rare to be actionable and is likely to be a chance finding. CarenR applies a minimum support filter: a rule is retained only if it covers at least 15% of training observations (approximately 12–13 years for an 89-year dataset).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Rule output and prediction. </w:t>
      </w:r>
      <w:r>
        <w:rPr>
          <w:rFonts w:ascii="Times New Roman" w:cs="Times New Roman" w:eastAsia="Times New Roman" w:hAnsi="Times New Roman"/>
          <w:sz w:val="24"/>
          <w:szCs w:val="24"/>
        </w:rPr>
        <w:t>Each retained rule describes a climate subgroup as a conjunction of feature-bin conditions, along with the mean and standard deviation of the target variable within the subgroup and the KS p-value. An example RDD rule output reads: "IF wet days post-flowering ∈ [0, 3.33] AND wet days post-maturity ∈ [0, 3.46] THEN production is +121 mhl above trend on average (support 28%, p = 0.0043)." At prediction time for a new test year, the feature values of the test year are checked against all retained rules. If one or more rules fire (all conditions are satisfied), their predicted residuals are aggregated: typically as a support-weighted average. If no rule fires, the model falls back to the training median residual, producing the same prediction as the Naive_Median baseline. This fallback mechanism is critical: it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for example, LAI at harvest in Vinho Verde (Section 4.6.3), which reliably shifts the production distribution without reliably predicting any single year's exact value. Second, rules are verified against a global null distribution rather than constructed greedily to separate pre-defined classes, making them statistically grounded in a way that classification rules are not. Third, the explicit fallback mechanism means that CarenR is conservative: it only makes a claim about a test year when at least one training-set rule matches, and defaults to the safe prediction otherwise.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Best for RDD,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0.20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 using response quantiles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3.4.2 RIPPER: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RIPPER is a classifier: it requires a discrete target variable. The continuous production residuals are therefore discretised into three ordinal classes, Low, Medium, and High, using tertile boundaries estimated on the training set. Each class contains approximately one third of the training observations. The class boundaries are estimated within each training fold in the walk-forward evaluation to prevent leakage.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RIPPER constructs rules one class at a time, starting with the minority class and working towards the majority class. For each class, it grows a rule by greedily adding conditions that maximise the FOIL information gain,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The final output of RIPPER is an ordered rule list: rules are applied in the order they were learned, and the first rule whose conditions are satisfied assigns the class for a given observation. Any observation not covered by any explicit rule is assigned the default class,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only slightly above the 33% random baseline,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3.4.3 M5Rules: Piecewise Linear Model Trees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The three algorithms differ fundamentally in what they optimise and what they produce. CarenR searches for distributional anomalies using a non-parametric test, it will find a feature informative if it shifts the production distribution in a statistically reliable way, even if that shift is not captured by a linear coefficient or a class boundary. RIPPER searches for class-separating conditions using information gain, it will find a feature informative if it concentrates one production class, regardless of the distribution of other classes. M5Rules searches for variance-reducing splits using squared error, it will find a feature informative if it enables a more accurate linear model, penalising large deviations quadratically. A feature that shifts the mean of the production distribution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linear trend estimation, feature discretisation, and feature selection, are performed exclusively on the training fold within each scenario to prevent data leakage.</w:t>
      </w:r>
    </w:p>
    <w:p>
      <w:r>
        <w:rPr>
          <w:rFonts w:ascii="Times New Roman" w:hAnsi="Times New Roman"/>
          <w:sz w:val="24"/>
        </w:rPr>
        <w:t>Specifically, with a minimum training fraction of 80% applied to 89 RDD observations, the minimum training window covers 71 years (1934–2004), leaving 18 subsequent years (2005–2022) as sequential test years — one per scenario. For RVV, 80% of 80 observations yields a minimum training window of 64 years (1942–2005), leaving 16 test years (2006–2021).</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predicts the median of the training-set residuals for every test year,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Decision Tree (CART) regressor was also included as a non-rule-based ML comparator.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3.4.1.7  Prediction Aggregation: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When multiple rules fire for a given test observation, their individual predictions must be aggregated into a single point estimate. This aggregation step is where the 11 CarenR variants diverge in their prediction mechanism, even when they use the same underlying feature selection. The general prediction formula for a test observation x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ŷ(x) = Σᵢ wᵢ(x) · μᵢ  /  Σᵢ wᵢ(x)</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the sum is over all rules i that fire for observation x (i.e. all conditions of rule i are satisfied by x), μᵢ is the mean residual of the training observations covered by rule i, and wᵢ(x) is the weight assigned to rule i for observation x. The weight definition distinguishes the variants: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with higher coverage are weighted more,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ŷ(t) = Σᵢ∈F(t) [sᵢ · μᵢ]  /  Σᵢ∈F(t) sᵢ        if F(t) ≠ ∅</w:t>
      </w:r>
    </w:p>
    <w:p>
      <w:pPr>
        <w:spacing w:after="120" w:before="120"/>
        <w:jc w:val="center"/>
      </w:pPr>
      <w:r>
        <w:rPr>
          <w:rFonts w:ascii="Times New Roman" w:cs="Times New Roman" w:eastAsia="Times New Roman" w:hAnsi="Times New Roman"/>
          <w:i/>
          <w:iCs/>
          <w:sz w:val="24"/>
          <w:szCs w:val="24"/>
        </w:rPr>
        <w:t xml:space="preserve">ŷ(t) = median(r₁, r₂, …, rₙ)                   if F(t) = ∅</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F(t) = {i : all conditions of rule i are satisfied by features of year t} is the set of firing rules, sᵢ ∈ [0.15, 1.0] is the support fraction of rule i, μᵢ is the mean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Subgroup mean μᵢ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contribution sᵢ·μᵢ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Σsᵢ·μᵢ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3.5. Worked example of support-weighted prediction for a test year where three rules fire. The prediction (+117.3 mhl above trend) is a weighted average of the three subgroup means,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the formula simplifies to ŷ(t) = μᵢ, the prediction is simply the mean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p>
      <w:pPr>
        <w:pStyle w:val="Heading1"/>
        <w:spacing w:after="180" w:before="360"/>
      </w:pPr>
      <w:r>
        <w:rPr>
          <w:rFonts w:ascii="Times New Roman" w:cs="Times New Roman" w:eastAsia="Times New Roman" w:hAnsi="Times New Roman"/>
          <w:b/>
          <w:bCs/>
          <w:sz w:val="28"/>
          <w:szCs w:val="28"/>
        </w:rPr>
        <w:t>3. Methodology (Addition: Section 3.3.1: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section supplements Chapter 3 (Section 3.3) with formal stationarity test results. The tests were computed using the statsmodels library (Python) on the production series and their linear detrended residuals.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3.3.1 Formal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need for detrending is not merely heuristic: both production series exhibit statistically significant non-stationarity in their raw form, formally confirmed by two complementary tests. The Augmented Dickey-Fuller (ADF) test uses the null hypothesis that a unit root is present (non-stationary); rejection at α = 0.05 indicates stationarity. The KPSS (Kwiatkowski-Phillips-Schmidt-Shin) test reverses this logic, using the null hypothesis of stationarity; rejection indicates non-stationarity. Applying both tests provides a more robust assessment than either test alone, since ADF has low power against near-unit-root processes and KPSS is sensitive to long-run variance estimation.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3.7 reports the test results for the raw production series and the linear detrended residuals for both regions.</w:t>
      </w:r>
    </w:p>
    <w:p>
      <w:pPr>
        <w:spacing w:after="80" w:before="8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200"/>
        <w:gridCol w:w="1400"/>
        <w:gridCol w:w="1200"/>
        <w:gridCol w:w="1200"/>
        <w:gridCol w:w="14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Series</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0.071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Borderline stationary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&lt;0.001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0.010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(rejects stationarity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 remains)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
(level stationarity)</w:t>
            </w:r>
          </w:p>
        </w:tc>
      </w:tr>
    </w:tbl>
    <w:p>
      <w:pPr>
        <w:spacing w:after="200" w:before="80"/>
        <w:jc w:val="center"/>
      </w:pPr>
      <w:r>
        <w:rPr>
          <w:rFonts w:ascii="Times New Roman" w:cs="Times New Roman" w:eastAsia="Times New Roman" w:hAnsi="Times New Roman"/>
          <w:i/>
          <w:iCs/>
          <w:sz w:val="20"/>
          <w:szCs w:val="20"/>
        </w:rPr>
        <w:t xml:space="preserve">Table 3.7. Stationarity test results for raw production series and linear detrended residuals. ADF H0: unit root present (non-stationary); KPSS H0: series is stationary. Trend slopes: RDD +7.37 mhl/yr (t=7.55, p&lt;0.0001); RVV −21.22 mhl/yr (t=−7.91, p&lt;0.0001). *** p&lt;0.001, ** p&lt;0.01.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results have three important implications for the methodological choices made in this thesis.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1: Detrending is formally justified for both regions. </w:t>
      </w:r>
      <w:r>
        <w:rPr>
          <w:rFonts w:ascii="Times New Roman" w:cs="Times New Roman" w:eastAsia="Times New Roman" w:hAnsi="Times New Roman"/>
          <w:sz w:val="24"/>
          <w:szCs w:val="24"/>
        </w:rPr>
        <w:t xml:space="preserve">Both raw series fail the ADF test (p = 0.38 for RDD, p = 0.89 for RVV), confirming that unit roots cannot be rejected in either series. The linear trend slopes are both highly statistically significant (p &lt; 0.0001), confirming that the observed trends are not artefacts of sampling variability. Applying machine learning models to the raw series without detrending would violate the stationarity assumptions implicit in cross-sectional feature-based modelling and would confound climate effects with structural level changes.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2: Linear detrending achieves full stationarity in RDD but only partial stationarity in RVV. </w:t>
      </w:r>
      <w:r>
        <w:rPr>
          <w:rFonts w:ascii="Times New Roman" w:cs="Times New Roman" w:eastAsia="Times New Roman" w:hAnsi="Times New Roman"/>
          <w:sz w:val="24"/>
          <w:szCs w:val="24"/>
        </w:rPr>
        <w:t>After linear detrending, the RDD residuals pass both the ADF test (p &lt; 0.001) and the KPSS test (p = 0.10), confirming stationarity by both criteria. The RVV residuals pass the KPSS level-stationarity test (p = 0.10) but fail the ADF test (p = 0.37), indicating that a unit root cannot be rejected even after removing the linear trend. This is formal statistical evidence that the RVV structural change, the sharp non-linear decline associated with EU accession and industry restructuring, is not fully captured by a linear trend. Persistent non-stationarity in the RVV residuals means that the era-composition effects observed in the walk-forward evaluation (Section 5.3) have a formal statistical basis: the residuals themselves are non-stationary, which means rules discovered in early training windows may not generalise to later test windows.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3: The mixed RVV result formally motivates LOESS detrending as a more flexible alternative. </w:t>
      </w:r>
      <w:r>
        <w:rPr>
          <w:rFonts w:ascii="Times New Roman" w:cs="Times New Roman" w:eastAsia="Times New Roman" w:hAnsi="Times New Roman"/>
          <w:sz w:val="24"/>
          <w:szCs w:val="24"/>
        </w:rPr>
        <w:t>The fact that RVV residuals pass KPSS but fail ADF after linear detrending confirms that the linear trend removes the long-run structural level but not all persistent structure. A more flexible detrending (LOESS) would in principle resolve this residual non-stationarity. The LOESS sensitivity analysis (Section 5.5) demonstrates that LOESS does reduce the Naive_Median baseline substantially for RVV, consistent with reducing the residual non-stationarity. However, it simultaneously removes the climate signal required for rule induction, a direct empirical manifestation of the Decision 1 / Decision 2 trade-off formalised in Section 3.3.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stationarity test results therefore serve as formal grounding for three methodological choices: (1) the decision to detrend rather than model raw production values; (2) the acknowledgement that linear detrending is imperfect for RVV and that some residual non-stationarity remains; and (3) the decision to retain linear detrending despite this imperfection, because the alternative (LOESS) resolves the non-stationarity at the cost of eliminating the climate signal that is the thesis's primary object of study.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describes the full data pipeline, from raw meteorological archives to the curated annual feature datasets used for rule discovery and walk-forward prediction,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datasets for both regions originate from two independent source streams that were prepared, cleaned, and ultimately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Daily meteorological records for the Douro region were sourced from the BCM base climate files maintained by the University of Porto's viticulture research group (Professor Mário Cunha). The raw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Stage 1 of the pipeline (script: 1_data_preparation_stage_1.R), the raw daily records were cleaned and five binary/threshold indicator variables were derived from the primary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Severe soil water stress,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Near-saturation, promotes disease, excessive vigour</w:t>
            </w:r>
          </w:p>
        </w:tc>
      </w:tr>
    </w:tbl>
    <w:p>
      <w:pPr>
        <w:spacing w:after="200" w:before="80"/>
        <w:jc w:val="center"/>
      </w:pPr>
      <w:r>
        <w:rPr>
          <w:rFonts w:ascii="Times New Roman" w:cs="Times New Roman" w:eastAsia="Times New Roman" w:hAnsi="Times New Roman"/>
          <w:i/>
          <w:iCs/>
          <w:sz w:val="20"/>
          <w:szCs w:val="20"/>
        </w:rPr>
        <w:t xml:space="preserve">Table 3.2. Binary threshold indicators derived from raw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Bud Break,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Flowering,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Start of Maturity (veraison),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Fruit Set,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Harvest,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production series for RDD spans 1933–2022 (90 observations), but the feature construction starts at 1934 to allow for previous-year (y0) features,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3.2 Feature Engineering: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methodological contribution of the data pipeline is the transformation from 32,842 (RDD) and 29,902 (RVV) daily records into 59 annual agroclimatic features per region. This transformation is performed by script 2_ features creation.R and is anchored entirely on the phenological dates for each year. The logic is straightforward in principle but required extensive domain expertise and iterative refinement to implement correctly: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choice of which (stage × position × width × year) combinations to include was guided by agronomic knowledge of the critical development windows established in the literature review (Chapter 2) and by exploratory correlation analysis against the response variable. Not all possible combinations were included: the final 59 features represent those with either strong a priori agronomic justification or demonstrated empirical correlation with production in at least one of the two regions.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3.5 summarises the 59 features by variable family and their counts. The distribution reflects the relative importance of different variable types in the viticulture literature: temperature variables (tm, tn)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Vine canopy development,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&lt; 1.5× wilting point,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Number of days with rainfall &gt; 1 mm,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&gt; 90% field capacity,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Extreme heat events,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events,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Night temperature at harvest,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(mean temperature in the 10 days before previous-year flowering): captures the thermal conditions governing inflorescence primordia formation in the prior season,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(soil saturation days in the 20 days after previous-year flowering): captures prior-year excess soil moisture during flowering,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continuous feature matrix (dataPrep_cont_dataset_*.csv, 59 columns × 89/80 rows) is used directly by M5Rules and RIPPER, which perform their own internal threshold finding. For CarenR, a separate discretised version of the dataset (dataPrep_dis_rule_dataset_*.csv) is produced by script 2_ features 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2_ features 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entire pipeline from Stage 1 through Stage 5 is reproducible by running run_all_pipelines.R, which sequences all scripts in order with consistent configuration parameters centralised in utils/config.R. Key configuration choices, detrend method (linear), CarenR support threshold (15%), significance threshold (p ≤ 0.10), minimum training fraction (80%), and feature selection strategy per variant, are documented in that file and were fixed before the final analysis run.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Before designing the previous-year (y0) features described in Section 3.2.3, the autocorrelation structure of the linearly detrended residuals was examined to determine which lags carry statistically significant serial dependence. This analysis serves two purposes: (1) it provides empirical justification for including y0 features at lag 1 (i.e. features from the immediately preceding growing season), and (2) it reveals longer-period cyclical structure that informs the CarenR_Dist_Lag variant evaluated in Chapter 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2"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The ACF analysis motivates two distinct feature families with different justifications. The y0 (lag-1) features, 15 of the 58 total features,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3.1.3 Production Series: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visible in both series as large year-to-year swings: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3"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 This convergence point reflects the equal weighting the two series receive in the cross-regional analysis in Chapter 5.</w:t>
      </w:r>
    </w:p>
    <w:p>
      <w:pPr>
        <w:spacing w:after="60" w:before="60"/>
      </w:pPr>
      <w:r>
        <w:t xml:space="preserve"/>
      </w:r>
    </w:p>
    <w:p>
      <w:pPr>
        <w:spacing w:after="80" w:before="200"/>
        <w:jc w:val="center"/>
      </w:pPr>
      <w:r>
        <w:drawing>
          <wp:inline distT="0" distB="0" distL="0" distR="0">
            <wp:extent cx="4762500" cy="1981200"/>
            <wp:effectExtent t="0" r="0" b="0" l="0"/>
            <wp:docPr id="4"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3.3 shows the production residuals after removing the linear trend from each series. Blue bars (RDD) and green bars (RVV) represent above-trend years; red bars represent below-trend years. For RDD, the residuals appear visually stationary: oscillating around zero without obvious additional drift: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5"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p>
      <w:pPr>
        <w:pageBreakBefore w:val="1"/>
      </w:pPr>
    </w:p>
    <w:p>
      <w:pPr>
        <w:pStyle w:val="Heading1"/>
        <w:spacing w:after="180" w:before="360"/>
      </w:pPr>
      <w:r>
        <w:rPr>
          <w:rFonts w:ascii="Times New Roman" w:cs="Times New Roman" w:eastAsia="Times New Roman" w:hAnsi="Times New Roman"/>
          <w:b/>
          <w:bCs/>
          <w:sz w:val="28"/>
          <w:szCs w:val="28"/>
        </w:rPr>
        <w:t>4. Goal 1: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4.1 CarenR: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After applying the significance threshold (KS p ≤ 0.10) and minimum support filter (≥ 15%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4.1.1 Douro (RDD):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Multi-year rule: moderate current-year soil water stress combined with a dry previous-year post-harvest window,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Dry flowering with bounded pre-veraison heat,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Combines post-flowering dryness with moderate pre-harvest soil water,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Four-condition rule combining all three primary signals,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 xml:space="preserve">Table 4.1. Top 10 CarenR rules for the Douro region (RDD), sorted by KS p-value. Mean Δ = mean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RDD rule set: (1) 46 of 48 rules point to ABOVE-trend production, an asymmetry that reflects the algorithm's finding that the positive signal in this dataset is structurally more consistent than the negative signal; the two below-trend rules (Rules 2 and 48) require an unusual combination of high LAI with high soil moisture that occurs in approximately 20% of years. (2) The rule set is organised around three recurring features, post-flowering wet days, pre-harvest soil water, and heat-stress day counts, with later rules being refinements of earlier ones through additional conditions. (3) The most significant rule (Rule 1) has support of 28.1%, covering approximately one in four years in the historical record, confirming it describes a recurrent rather than exceptional pattern.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4.1.2 Vinho Verde (RVV):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Low soil water deficit combined with absence of heat stress,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Cool flowering combined with previous-year soil saturation,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LAI at flowering as a predictor,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RVV rule set: (1) 19 of 20 rules point to BELOW-trend production, the inverse asymmetry from RDD. In a declining series, the majority of historically exceptional subgroups are years that fall below the already-declining trend. (2) Rule 4 (the sole above-trend rule, +311 mhl, support 25%) represents the largest absolute distributional shift in either region,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4.1.3 The Directional Inversion: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same feature, soil water at harvest (swa_hv_y1_b20),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4.2 LOESS Validation: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within-era signal,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CAUTION,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which focus on soil water and rainfall,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was applied to tertile-discretised production classes. CV accuracy: 42% RDD, 35% RVV (33% random baseline; κ = 0.06–0.19).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4.6. RIPPER rules for RVV. CV accuracy 35%.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RIPPER selects harvest temperature (RDD Rules 1–3), LAI at budburst and flowering (RDD Rule 2, RVV Rules 1–2), and soil water / rainfall at flowering (RVV Rules 1, 3),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4.4 M5Rules: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M5Rules collapsed to global linear models in both regions (no beneficial split found at minimum leaf size 4), producing 2 rules for RDD and 3 for RVV. CV R² = 0.004 (RDD), −0.07 (RVV),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(RDD Rule 2,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Consistent,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Carry-over,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Prior-year heat during ripening reduces current production,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 1 direction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the CarenR distributional finding: each additional mm of harvest soil water removes ~2.3 mhl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swa_hv_y1_b20 coefficient (−2.3 mhl/mm) is particularly informative: it quantifies the effect that CarenR describes distributionally. CarenR says "years with harvest soil water in [74–101 mm] have a significantly shifted production distribution (+121–192 mhl above trend)." M5Rules says "each additional mm of harvest soil water reduces production by 2.3 mhl linearly." The two descriptions are consistent: a 100 mm difference in harvest soil water corresponds to a 230 mhl difference in the M5Rules prediction, which aligns with CarenR's +121–192 mhl rule deviations. The regression and distributional approaches are detecting the same underlying structure through different mathematical lenses.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(RVV Rule 1,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Rules 3,16,19 (high post-fl soil water → below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Consistent, high LAI direction matches CarenR's RVV dominant signal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large coefficient: each unit increase in budburst LAI removes ~2064 mhl; confirms LAI family importance</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4.9 summarises feature agreement across all three algorithms for both regions. A feature confirmed by all three methods: CarenR's distributional test, RIPPER's information gain, and M5Rules' MSE minimisation: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three features confirmed by all three methods, harvest soil water, the LAI family, and previous-year summer temperature,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4.6 Feature Frequency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Counting how frequently each feature variable appears across all rule conditions, regardless of bin interval, reveals the structural importance of each variable to CarenR's induction. Table 4.10 shows the top features by frequency.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appearances
(of 133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48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Structural backbone, present in majority of rules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Second backbone, post-maturity dryness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Thermal moderation, absent extreme heat at flowering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moderation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Wider window variant of rank 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Post-flowering dryness: RIPPER and M5Rules do not select this</w:t>
            </w:r>
          </w:p>
        </w:tc>
      </w:tr>
    </w:tbl>
    <w:p>
      <w:pPr>
        <w:spacing w:after="200" w:before="80"/>
        <w:jc w:val="center"/>
      </w:pPr>
      <w:r>
        <w:rPr>
          <w:rFonts w:ascii="Times New Roman" w:cs="Times New Roman" w:eastAsia="Times New Roman" w:hAnsi="Times New Roman"/>
          <w:i/>
          <w:iCs/>
          <w:sz w:val="20"/>
          <w:szCs w:val="20"/>
        </w:rPr>
        <w:t xml:space="preserve">Table 4.10. Top 6 features by condition frequency across all 48 RDD CarenR rules.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appearances
(of 65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20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Dominant backbone, low heat post-veraison characterises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Pre-veraison heat absence, second backbone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heat absence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Same variable as RDD rank 1, opposite 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days at flowering, cool Atlantic climate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soil saturation, carry-over signal</w:t>
            </w:r>
          </w:p>
        </w:tc>
      </w:tr>
    </w:tbl>
    <w:p>
      <w:pPr>
        <w:spacing w:after="200" w:before="80"/>
        <w:jc w:val="center"/>
      </w:pPr>
      <w:r>
        <w:rPr>
          <w:rFonts w:ascii="Times New Roman" w:cs="Times New Roman" w:eastAsia="Times New Roman" w:hAnsi="Times New Roman"/>
          <w:i/>
          <w:iCs/>
          <w:sz w:val="20"/>
          <w:szCs w:val="20"/>
        </w:rPr>
        <w:t xml:space="preserve">Table 4.11. Top 6 features by condition frequency across all 20 RVV CarenR rules.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4.7 Rule Set Structure: Overlap and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Of the 1,128 unique rule pairs in the 48-rule RDD set, 730 (64.7%) share at least one feature variable. This high overlap is structurally expected: when a small number of features (Table 4.10 shows the top 6 account for the majority of appearances), many rules will share backbone conditions. The overlap is informative rather than redundant: rules that share one backbone condition but differ in their second condition describe different sub-regimes within the same broad pattern, providing a richer characterisation than any single rule alone. Of the 48 RDD rules, 44 (92%) contain at least one condition-bin combination unique to that rule, confirming that the set is not simply multiple copies of the same subgroup. The RVV set (20 rules) shows higher structural redundancy, 9 of 20 rules (45%) are subsets of another rule, reflecting that CarenR is detecting multiple window-width variants of the same core pattern (low heat + high soil moisture → below trend) rather than discovering genuinely distinct subgroups.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4.8 Summary: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a further indication that the KS-test criterion is less susceptible to smooth era co-trending than simple correlation.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4. Goal 1: Agroclimatic Rule Discovery (Supplement: Feature Frequency and Rule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document contains Sections 4.7 and 4.8, the feature frequency analysis and rule overlap evaluation, to be inserted after Section 4.6 in the main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4.7 Feature Frequency Analysis: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48 RDD rules together contain 133 individual condition-feature appearances (some rules have 2 conditions, others 3–4). The 20 RVV rules contain 65 condition-feature appearances. Counting how frequently each feature variable appears across all conditions, regardless of which specific bin interval,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4.7.1 Douro (RDD):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4.9 shows the top features by frequency across all 133 condition appearances in the 48 RDD rules. The dominance of swa_hv_y1_b20 (harvest soil water) at 26 appearances: nearly double the next feature: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post-maturity,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post-flowering,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pre-veraison,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(wider window),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post-flowering,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flowering temperature,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budburst,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at harvest,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post-flowering, mid-season moisture</w:t>
            </w:r>
          </w:p>
        </w:tc>
      </w:tr>
    </w:tbl>
    <w:p>
      <w:pPr>
        <w:spacing w:after="200" w:before="80"/>
        <w:jc w:val="center"/>
      </w:pPr>
      <w:r>
        <w:rPr>
          <w:rFonts w:ascii="Times New Roman" w:cs="Times New Roman" w:eastAsia="Times New Roman" w:hAnsi="Times New Roman"/>
          <w:i/>
          <w:iCs/>
          <w:sz w:val="20"/>
          <w:szCs w:val="20"/>
        </w:rPr>
        <w:t xml:space="preserve">Table 4.9.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Moisture control post-maturity (days.rf.above.1mm_sm_y1_a20, rank 2, 44%): </w:t>
      </w:r>
      <w:r>
        <w:rPr>
          <w:rFonts w:ascii="Times New Roman" w:cs="Times New Roman" w:eastAsia="Times New Roman" w:hAnsi="Times New Roman"/>
          <w:sz w:val="24"/>
          <w:szCs w:val="24"/>
        </w:rPr>
        <w:t>Dry conditions in the post-veraison ripening window appear nearly as frequently as harvest soil water. The two features are related, dry post-maturity conditions contribute to low pre-harvest soil water,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Thermal moderation (ranks 3–5, 27–38% of rules): </w:t>
      </w:r>
      <w:r>
        <w:rPr>
          <w:rFonts w:ascii="Times New Roman" w:cs="Times New Roman" w:eastAsia="Times New Roman" w:hAnsi="Times New Roman"/>
          <w:sz w:val="24"/>
          <w:szCs w:val="24"/>
        </w:rPr>
        <w:t>Three heat-stress variables (days with Tmax &gt; 35°C at different windows) collectively appear in the vast majority of rules. Their consistent presence confirms that the best Douro vintages are not simply dry but specifically characterised by moderate heat,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4.7.2 Vinho Verde (RVV):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post-veraison,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pre-veraison,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post-flowering,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days at flowering,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days at budburst,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soil saturation,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Post-flowering soil water,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harvest, dominant structural signal (see Sec 4.6.3)</w:t>
            </w:r>
          </w:p>
        </w:tc>
      </w:tr>
    </w:tbl>
    <w:p>
      <w:pPr>
        <w:spacing w:after="200" w:before="80"/>
        <w:jc w:val="center"/>
      </w:pPr>
      <w:r>
        <w:rPr>
          <w:rFonts w:ascii="Times New Roman" w:cs="Times New Roman" w:eastAsia="Times New Roman" w:hAnsi="Times New Roman"/>
          <w:i/>
          <w:iCs/>
          <w:sz w:val="20"/>
          <w:szCs w:val="20"/>
        </w:rPr>
        <w:t xml:space="preserve">Table 4.10.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With 48 rules for RDD and 20 for RVV, an important question is whether the rules represent genuinely distinct patterns or whether the rule set contains substantial redundancy,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48 RDD rules, there are 48×47/2 = 1,128 unique rule pairs. Analysis of the full RDD rule CSV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CarenR by design generates overlapping subgroups: a rule like "dry post-flowering AND dry post-maturity" and a rule like "dry post-flowering AND moderate soil water at harvest" will share the dry post-flowering condition and cover many of the same years. These are not the same rule,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overlap pattern itself reveals which features are the structural backbone of the rule set. A feature that appears in 26 of 48 rules (swa_hv_y1_b20) will be shared by a large fraction of all rule pairs simply because it appears so often. The overlap is not noise, it reflects the fact that harvest soil water is the dominant discriminating condition, and most above-trend years share this characteristic in combination with various secondary conditions.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more informative measure of coherence is how many rules contain at least one condition not shared with any other rule. Examination of the 48 RDD rules shows that 44 of 48 rules (92%) contain at least one condition-bin combination unique to that rule. Only 4 rules are subsets of other rules, meaning the conditions of rule A are a strict subset of rule B's conditions, making rule A less specific. These 4 subset rules are retained because their higher support (the less specific rule covers more years) provides complementary information about the breadth of the pattern.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rule set (20 rules) is more tightly clustered: 11 of 20 rules (55%) contain at least one unique condition. The remaining 9 rules are variations of the core harvest-soil-water + heat-stress-days theme, differing only in the specific heat-stress window used. This higher redundancy in RVV reflects that CarenR is identifying the same fundamental pattern (cool + dry + low-heat-stress → below trend) from multiple angle across different window widths, rather than finding genuinely distinct agronomic pathways.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Expected high overlap,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 xml:space="preserve">Table 4.11.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5. Goal 2: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5.1 presents the complete 17-model ranking for the Douro region, sorted by weighted MAE. Naive_Median ranks first with a weighted MAE of 184 mhl. The best CarenR variant, CarenR_Dist_Eta2, achieves 189 mhl: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For Vinho Verde, Naive_Median again ranks first at 140 mhl. The best CarenR variant is CarenR_Dist_Sup_FS at 172 mhl,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To investigate whether the aggregate weighted MAE obscures important structure, the per-scenario MAE for CarenR_Dist_Eta2 was examined alongside the proportion of post-1990 observations in each training fold. This analysis was conducted after observing the aggregate results,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5.3 Regional Contrast: RDD vs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No rules fired: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fired but hurt prediction,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Era-balanced RDD scenarios 10–14 (exploratory / post-hoc): </w:t>
      </w:r>
      <w:r>
        <w:rPr>
          <w:rFonts w:ascii="Times New Roman" w:cs="Times New Roman" w:eastAsia="Times New Roman" w:hAnsi="Times New Roman"/>
          <w:sz w:val="24"/>
          <w:szCs w:val="24"/>
        </w:rPr>
        <w:t>Binomial sign test on 5 scenarios where CarenR won in all 5. The scenarios were identified as era-balanced after observing that CarenR won in them, not pre-specified. Result: p = 0.031. Although this meets the α = 0.05 threshold, the post-hoc identification of the scenario window means this result must be treated as exploratory. It generates a testable hypothesis, that CarenR outperforms the naive baseline when post-1990 training share reaches ~29%,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POST-HOC / EXPLORATORY,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5.6 Negative Results: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CarenR_Supervised, which performs discretisation of the response variable within each training fold,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5. Goal 2: Predictive Performance (Per-Scenario Analysis Supplement)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document contains Sections 5.8 and 5.9, the full per-scenario MAE tables, to be merged into Chapter 5 after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5.8 Per-Scenario MAE: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year is the year immediately following.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1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These two early scenarios show CarenR marginally matching or beating the naive baseline, despite low post-1990 training share (~22%). They fall in 2007–2008, a period following a moderate drought year (2005, one of the driest in Iberia in the modern era) that may have created unusual year-to-year variation that CarenR's rules happened to capture. They do not represent reliable era-balanced wins,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The two final scenarios each test only a single year (2021 and 2022 respectively). With a single test observation, the scenario MAE equals the absolute prediction error for that year alone. CarenR's large positive gap in these scenarios reflects that its rules misfired on these two specific years, likely because 2021 and 2022 were anomalous in ways not captured by the training distribution. This highlights a fundamental limitation of single-year test sets: they cannot separate systematic model failure from one-off prediction errors. The experiment log (Section 21.3) notes that these late scenarios are explicitly excluded from the era-balanced binomial analysis for this reason.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5.9 Per-Scenario MAE: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bl>
    <w:p>
      <w:pPr>
        <w:spacing w:after="200" w:before="80"/>
        <w:jc w:val="center"/>
      </w:pPr>
      <w:r>
        <w:rPr>
          <w:rFonts w:ascii="Times New Roman" w:cs="Times New Roman" w:eastAsia="Times New Roman" w:hAnsi="Times New Roman"/>
          <w:i/>
          <w:iCs/>
          <w:sz w:val="20"/>
          <w:szCs w:val="20"/>
        </w:rPr>
        <w:t>Table 5.9. Per-scenario MAE for Naive_Median and CarenR_Dist_Sup_FS across all 16 RVV scenarios. Gap = CarenR MAE − Naive_Median MAE. All gaps are zero or positive: CarenR never beats the baseline.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by coincidence,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Seven of 16 scenarios show a zero gap,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≥15% support,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5. Goal 2: Predictive Performance (Additions: Sections 5.8–5.10)</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5.9, and 5.10, which expand the Chapter 5 analysis with a detailed feature selector comparison, an interpretation of the era-balanced winning scenarios, and a discussion of what the fallback-to-median behaviour means in practice.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5.8 Feature Selector Comparison: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CarenR variants evaluated in this study differ primarily in their feature selection strategy, the step that reduces the 58-feature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 xml:space="preserve">Table 5.10.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The η² (eta-squared) selector measures the association between each discretised feature and the discretised response using an ANOVA effect size,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most importantly, recognise that no confident rule applies and fall back to the median. The fallback behaviour is the key: in 7 of 16 RVV scenarios, Sup_FS correctly predicts the median (zero gap vs Naive_Median), whereas a more aggressive selector would fire a spurious rule and accumulate error.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evaluating all 11 variants,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five scenarios where CarenR_Dist_Eta2 beats the naive baseline in RDD correspond to test years 2014, 2015, 2016, 2017, and 2018. Understanding what made these years predictable from climate rules, and why CarenR succeeded where it fails in other years,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each of these five years, CarenR fired rules based on the top RDD signals, dry post-flowering conditions and moderate soil water stress at harvest,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Agronomically, 2014–2018 were years characterised by the Douro's increasingly hot, dry summers, a pattern that has intensified under recent climate trends. The dry post-flowering and moderate pre-harvest soil water conditions that define the top CarenR rules were clearly present in multiple years of this window, creating genuine rule-fireable conditions that translated to above-trend production. The fact that CarenR could detect and predict this correctly, rather than falling back to the median, is precisely what the distributional rule framework is designed to achieve: identifying years where the climate signal is strong enough to be actionable.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reason CarenR then fails again in scenarios 15–18 (test years 2019–2022) is equally informative. The 2019–2022 window was characterised by unusual year-to-year variability driven by the combined effects of climate extremes (severe drought years interspersed with unusually wet seasons). The rules learned from 1934–2018 training data were calibrated to the historical distributional structure, which was disrupted by the post-2018 volatility. This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5.10 The Fallback Mechanism: When CarenR Says "I Don't Know"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distinctive and underappreciated feature of the CarenR prediction framework is its explicit fallback mechanism: when no rule fires for a given test year, the model predicts the training median residual, the same prediction as the Naive_Median baseline. This produces a zero gap between CarenR and Naive_Median in those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behaviour is not a failure, it is the model correctly communicating uncertainty. A CarenR fallback is semantically equivalent to saying: "the climate conditions of this test year do not match any of the patterns I learned from historical data with sufficient confidence. My best prediction is therefore the historical average." This is a principled, conservative position that avoids compounding error by applying a rule that may not be appropriate.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contrast with RIPPER is instructive. RIPPER always assigns a class, it has a default rule that catches all unmatched observations, and it will always produce a prediction. This means RIPPER never explicitly signals uncertainty; every test year gets a confident class assignment regardless of how well it matches the training patterns. The result is that RIPPER's errors in difficult years are often larger than CarenR's, because CarenR defaults to the safe median while RIPPER applies its default (most-common-class) rule.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p>
      <w:pPr>
        <w:spacing w:after="200" w:before="80"/>
        <w:jc w:val="center"/>
      </w:pPr>
      <w:r>
        <w:rPr>
          <w:rFonts w:ascii="Times New Roman" w:cs="Times New Roman" w:eastAsia="Times New Roman" w:hAnsi="Times New Roman"/>
          <w:i/>
          <w:iCs/>
          <w:sz w:val="20"/>
          <w:szCs w:val="20"/>
        </w:rPr>
        <w:t xml:space="preserve">Table 5.11. The three possible outcomes of CarenR prediction and their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RDD, fallback scenarios are rare because CarenR tends to find applicable rules in most years, the Douro climate signal is strong enough that at least one condition-set matches most test years. In RVV, fallback is the dominant outcome in later scenarios (scenarios 12–16), where the training distribution has stabilised into the modern low-production era and CarenR correctly identifies that the historical rules, calibrated partly on high-production pre-1980 data, are no longer reliably applicable. The increase in fallback frequency in later RVV scenarios is itself a diagnostic finding: it shows that CarenR is becoming progressively more conservative as the era gap between training history and test years widens, which is the correct adaptive response to structural non-stationarity.</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finding of this thesis is an asymmetry between two related but distinct tasks: discovering patterns that explain historical production, and predicting future production from those patterns. Goal 1 succeeds: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Pattern discovery requires only that a statistical association exists, that years satisfying a given condition have a systematically different production distribution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15%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asymmetry, a genuine agroclimatic association that is too weak for reliable prediction, is not a failure of the methodology. It is a property of the system being studied, and quantifying it precisely is a contribution of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LOESS detrending experiment makes this trade-off concrete. In the RVV, LOESS reduces the Naive_Median baseline from 140 to approximately 90 mhl,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(Section 5.3) further illustrates this divergence. As more post-1990 data enters the RVV training set, CarenR's performance worsens rather than improves,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interaction is not a deficiency of the metric,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vineyard planted area, number of certified producers, annual Port benefício quota, and proportion of espalier vs. pergola training,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finding that rule-based methods can discover interpretable agroclimatic patterns but fail to outperform naive baselines in small samples is consistent with the broader forecasting literature on agricultural yield prediction. Santos et al. (various) and Fraga et al. (2012, 2014) have demonstrated that climate indices derived from the growing season are correlated with wine quality and quantity in Portuguese regions, but the predictive R² values reported in those studies (typically 0.35–0.55 for regional aggregates) are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6. Discussion (Addition: Section 6.7: Experimental Design Decisions)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Section 6.7 describes the key design decisions made during the development of the experimental pipeline. This section documents the reasoning behind choices that are not fully explained by the final methodology alone, including decisions to abandon or modify approaches that did not work as initially intended.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"low production years tend to be early years",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solution, linear detrending applied separately within each training fold,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6.7.2 LOESS Detrending: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Once linear detrending was adopted, a natural follow-up question was whether more flexible detrending (LOESS) might produce better results by more accurately capturing the non-linear structural trajectories,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result was counter-intuitive: LOESS improved the Naive_Median baseline substantially for RVV (from 140 to ~90 mhl, a 36% improvement in Decision 1) but eliminated all CarenR rules entirely,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capturing year-to-year variation,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original design of Goal 2 (predictive evaluation)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RIPPER's cross-validated accuracy of 35–42%, only marginally above the 33% random baseline,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comparing RIPPER (classification) against CarenR (which outputs a continuous mean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including RIPPER,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6.7.4 CarenR Variant Proliferation: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as confirmed by RIPPER and M5Rules coefficients on previous-year variables, but the ACF approach to identifying it appears less reliable than the agronomically-motivated y0 feature construction.</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Extraction: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LAI at harvest appears in all 20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Walk-Forward Prediction: is not achieved in aggregate.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Systematic sensitivity analysis: a structured 11-variant evaluation of CarenR's feature selection strategies shows that the optimal configuration is problem-specific,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Method validation in domain: the discovered rules are agronomically coherent,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Exceptional Model Mining extension: the EMM framework (Duivesteijn et al., 2016) generalises distributional subgroup discovery to model-based interestingness criteria. Applying EMM to identify subgroups where the climate-production regression relationship is exceptional, rather than where the marginal distribution shifts,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the evaluation framework, the sensitivity analysis, the era-composition diagnostic, are transferable to analogous problems wherever rule-based discovery is applied to long, structurally non-stationary time series.</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Figures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This section contains the key figures referenced in the results chapters. All figures were generated by the automated R pipeline (plot_model_comparison.R) from the walk-forward evaluation results.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1 — Vinho Verde Production Time Series with Prediction Error Bands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1 illustrates the full RVV production time series (1942–2021) alongside the MAE error bands for the best-performing models. The dashed horizontal line is the global mean (1,621 mhl). The shaded band centred on the mean represents the ±140 mhl error band of the Naive_Median baseline; the wider band shows the ±172 mhl error of the best CarenR variant. The figure contextualises what the MAE numbers mean in practice: even the best model has an error band that spans a substantial fraction of the series range. The structural decline from the 1960s peak (~3,000 mhl) to the modern era (~800 mhl) is clearly visible, illustrating the non-stationarity that motivates the detrending step described in Section 3.3.</w:t>
      </w:r>
    </w:p>
    <w:p>
      <w:pPr>
        <w:spacing w:after="60" w:before="60"/>
      </w:pPr>
      <w:r>
        <w:t xml:space="preserve"/>
      </w:r>
    </w:p>
    <w:p>
      <w:pPr>
        <w:spacing w:after="80" w:before="200"/>
        <w:jc w:val="center"/>
      </w:pPr>
      <w:r>
        <w:drawing>
          <wp:inline distT="0" distB="0" distL="0" distR="0">
            <wp:extent cx="4762500" cy="1981200"/>
            <wp:effectExtent t="0" r="0" b="0" l="0"/>
            <wp:docPr id="6" name="plot_context_timeseries.png" descr="plot_context_timeseries.png" title="plot_contex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RVV annual wine production (1942–2021). Dashed line = global mean (1,621 mhl). Shaded bands = ±MAE for Naive_Median (dark, ±140 mhl) and best CarenR variant (light, ±172 mhl). The structural decline post-1980 reflects EU accession and industry restructuring, not climate variation.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2 — Weighted MAE: All 17 Models,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2 shows the complete 17-model ranking for the Vinho Verde region, sorted by weighted MAE. The dashed vertical blue line marks the Naive_Median baseline (140 mhl). All CarenR variants (green bars) exceed this baseline, as do all other ML models. The figure visually confirms that no rule-based model consistently beats the naive baseline in RVV, and shows the substantial gap between CarenR variants (172–275 mhl) and the most poorly-performing models (RIPPER 508 mhl, Decision Tree 479 mhl). The best CarenR variant (Sup+Thresh, marked with ★) ties with CarenR_Conf at 172 mhl — the closest any ML model comes to the baseline.</w:t>
      </w:r>
    </w:p>
    <w:p>
      <w:pPr>
        <w:spacing w:after="60" w:before="60"/>
      </w:pPr>
      <w:r>
        <w:t xml:space="preserve"/>
      </w:r>
    </w:p>
    <w:p>
      <w:pPr>
        <w:spacing w:after="80" w:before="200"/>
        <w:jc w:val="center"/>
      </w:pPr>
      <w:r>
        <w:drawing>
          <wp:inline distT="0" distB="0" distL="0" distR="0">
            <wp:extent cx="4762500" cy="2857500"/>
            <wp:effectExtent t="0" r="0" b="0" l="0"/>
            <wp:docPr id="7" name="plot_comparison_weighted_mae.png" descr="plot_comparison_weighted_mae.png" title="plot_comparison_weighted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Weighted MAE for all 17 models in Vinho Verde (16 walk-forward scenarios). Blue = naive baselines; green = CarenR variants; grey = other ML models. Dashed line = Naive_Median reference (140 mhl). Lower is better.</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3 — Per-Scenario MAE Trajectory,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 shows the per-scenario MAE for key models across all 16 RVV scenarios. The Naive_Median (solid dark blue) provides a varying baseline — its per-scenario MAE reflects the inherent year-to-year production variability of each test year. The best CarenR variant (CarenR Sup+Thresh, dark green solid line) tracks close to the Naive_Median in early scenarios (1–3) then diverges progressively in scenarios 4–11, reaching a gap of ~82 mhl in Scenario 11. In the final scenarios (12–16) the gap closes because CarenR falls back to the median (no rules fire). Decision Tree (dotted grey) and M5Rules (dotted dark) are consistently and substantially above all other models. This figure directly illustrates the harmful-rules degradation pattern described in Section 5.3.</w:t>
      </w:r>
    </w:p>
    <w:p>
      <w:pPr>
        <w:spacing w:after="60" w:before="60"/>
      </w:pPr>
      <w:r>
        <w:t xml:space="preserve"/>
      </w:r>
    </w:p>
    <w:p>
      <w:pPr>
        <w:spacing w:after="80" w:before="200"/>
        <w:jc w:val="center"/>
      </w:pPr>
      <w:r>
        <w:drawing>
          <wp:inline distT="0" distB="0" distL="0" distR="0">
            <wp:extent cx="4762500" cy="2381250"/>
            <wp:effectExtent t="0" r="0" b="0" l="0"/>
            <wp:docPr id="8" name="plot_comparison_per_scenario.png" descr="plot_comparison_per_scenario.png" title="plot_comparison_per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Per-scenario MAE for key models across 16 RVV walk-forward scenarios. Scenarios are ordered chronologically; earlier scenarios have larger test sets. CarenR Sup+Thresh (dark green) tracks the baseline in early/late scenarios but diverges in scenarios 4–11 when harmful rules fire.</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4 — Linear vs LOESS Detrending: Weighted MAE Comparison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4 compares the weighted MAE for all 17 models under linear detrending (blue bars) versus LOESS detrending (green bars) for the Vinho Verde region. The two vertical dashed lines show the respective Naive_Median baselines: green (LOESS, ~90 mhl) and blue (linear, ~140 mhl). For every model, LOESS detrending produces a lower absolute MAE — the green bars are consistently shorter than the blue bars. This reflects the better trend fit of LOESS for RVV (Decision 1 improvement). However, CarenR_Lag under LOESS (green bar, short) is notable: even with a lower baseline, CarenR falls to or below the baseline with LOESS because rules are suppressed. The figure visually demonstrates the Decision 1 / Decision 2 trade-off: LOESS moves the goalposts (lower floor) but prevents CarenR from scoring at all.</w:t>
      </w:r>
    </w:p>
    <w:p>
      <w:pPr>
        <w:spacing w:after="60" w:before="60"/>
      </w:pPr>
      <w:r>
        <w:t xml:space="preserve"/>
      </w:r>
    </w:p>
    <w:p>
      <w:pPr>
        <w:spacing w:after="80" w:before="200"/>
        <w:jc w:val="center"/>
      </w:pPr>
      <w:r>
        <w:drawing>
          <wp:inline distT="0" distB="0" distL="0" distR="0">
            <wp:extent cx="4762500" cy="3028950"/>
            <wp:effectExtent t="0" r="0" b="0" l="0"/>
            <wp:docPr id="9" name="plot_detrend_comparison.png" descr="plot_detrend_comparison.png" title="plot_detre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Weighted MAE under linear (blue) vs LOESS (green) detrending for all 17 models, Vinho Verde. Dashed lines = Naive_Median baseline for each detrend method (linear: 140 mhl, LOESS: ~90 mhl). LOESS improves Decision 1 (lower floor) but suppresses CarenR rule induction, illustrating the fundamental trade-off between trend quality and residual signal availability.</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References</w:t>
      </w:r>
    </w:p>
    <w:p>
      <w:pPr>
        <w:spacing w:after="60" w:before="60"/>
      </w:pPr>
      <w:r>
        <w:t xml:space="preserve"/>
      </w:r>
    </w:p>
    <w:p>
      <w:pPr>
        <w:spacing w:after="140" w:before="140" w:line="300"/>
        <w:ind w:left="720" w:hanging="720"/>
        <w:jc w:val="both"/>
      </w:pPr>
      <w:r>
        <w:rPr>
          <w:rFonts w:ascii="Times New Roman" w:cs="Times New Roman" w:eastAsia="Times New Roman" w:hAnsi="Times New Roman"/>
          <w:sz w:val="22"/>
          <w:szCs w:val="22"/>
        </w:rPr>
        <w:t xml:space="preserve">Bock, A., Sparks, T. H., Estrella, N., and Menzel, A. (2013). Changes in the phenology and composition of wine from Franconia, Germany. </w:t>
      </w:r>
      <w:r>
        <w:rPr>
          <w:rFonts w:ascii="Times New Roman" w:cs="Times New Roman" w:eastAsia="Times New Roman" w:hAnsi="Times New Roman"/>
          <w:i/>
          <w:iCs/>
          <w:sz w:val="22"/>
          <w:szCs w:val="22"/>
        </w:rPr>
        <w:t xml:space="preserve">Climate Research, </w:t>
      </w:r>
      <w:r>
        <w:rPr>
          <w:rFonts w:ascii="Times New Roman" w:cs="Times New Roman" w:eastAsia="Times New Roman" w:hAnsi="Times New Roman"/>
          <w:sz w:val="22"/>
          <w:szCs w:val="22"/>
        </w:rPr>
        <w:t xml:space="preserve">50(2–3), 69–81. https://doi.org/10.3354/cr01048</w:t>
      </w:r>
    </w:p>
    <w:p>
      <w:pPr>
        <w:spacing w:after="140" w:before="140" w:line="300"/>
        <w:ind w:left="720" w:hanging="720"/>
        <w:jc w:val="both"/>
      </w:pPr>
      <w:r>
        <w:rPr>
          <w:rFonts w:ascii="Times New Roman" w:cs="Times New Roman" w:eastAsia="Times New Roman" w:hAnsi="Times New Roman"/>
          <w:sz w:val="22"/>
          <w:szCs w:val="22"/>
        </w:rPr>
        <w:t xml:space="preserve">Cohen, W. W. (1995). Fast effective rule induction. In </w:t>
      </w:r>
      <w:r>
        <w:rPr>
          <w:rFonts w:ascii="Times New Roman" w:cs="Times New Roman" w:eastAsia="Times New Roman" w:hAnsi="Times New Roman"/>
          <w:i/>
          <w:iCs/>
          <w:sz w:val="22"/>
          <w:szCs w:val="22"/>
        </w:rPr>
        <w:t xml:space="preserve">Proceedings of the 12th International Conference on Machine Learning (ICML 1995)</w:t>
      </w:r>
      <w:r>
        <w:rPr>
          <w:rFonts w:ascii="Times New Roman" w:cs="Times New Roman" w:eastAsia="Times New Roman" w:hAnsi="Times New Roman"/>
          <w:sz w:val="22"/>
          <w:szCs w:val="22"/>
        </w:rPr>
        <w:t xml:space="preserve">, pp. 115–123. Morgan Kaufmann.</w:t>
      </w:r>
    </w:p>
    <w:p>
      <w:pPr>
        <w:spacing w:after="140" w:before="140" w:line="300"/>
        <w:ind w:left="720" w:hanging="720"/>
        <w:jc w:val="both"/>
      </w:pPr>
      <w:r>
        <w:rPr>
          <w:rFonts w:ascii="Times New Roman" w:cs="Times New Roman" w:eastAsia="Times New Roman" w:hAnsi="Times New Roman"/>
          <w:sz w:val="22"/>
          <w:szCs w:val="22"/>
        </w:rPr>
        <w:t xml:space="preserve">Cunha, M., and Richter, C. (2012). Measuring the impact of temperature changes on the wine production in the Douro region using the short time Fourier transform. </w:t>
      </w:r>
      <w:r>
        <w:rPr>
          <w:rFonts w:ascii="Times New Roman" w:cs="Times New Roman" w:eastAsia="Times New Roman" w:hAnsi="Times New Roman"/>
          <w:i/>
          <w:iCs/>
          <w:sz w:val="22"/>
          <w:szCs w:val="22"/>
        </w:rPr>
        <w:t xml:space="preserve">International Journal of Biometeorology, </w:t>
      </w:r>
      <w:r>
        <w:rPr>
          <w:rFonts w:ascii="Times New Roman" w:cs="Times New Roman" w:eastAsia="Times New Roman" w:hAnsi="Times New Roman"/>
          <w:sz w:val="22"/>
          <w:szCs w:val="22"/>
        </w:rPr>
        <w:t xml:space="preserve">56(2), 357–370. https://doi.org/10.1007/s00484-011-0444-3</w:t>
      </w:r>
    </w:p>
    <w:p>
      <w:pPr>
        <w:spacing w:after="140" w:before="140" w:line="300"/>
        <w:ind w:left="720" w:hanging="720"/>
        <w:jc w:val="both"/>
      </w:pPr>
      <w:r>
        <w:rPr>
          <w:rFonts w:ascii="Times New Roman" w:cs="Times New Roman" w:eastAsia="Times New Roman" w:hAnsi="Times New Roman"/>
          <w:sz w:val="22"/>
          <w:szCs w:val="22"/>
        </w:rPr>
        <w:t xml:space="preserve">Cunha, M., and Richter, C. (2016). The impact of climate change on the winegrape vineyards of the Portuguese Douro region. </w:t>
      </w:r>
      <w:r>
        <w:rPr>
          <w:rFonts w:ascii="Times New Roman" w:cs="Times New Roman" w:eastAsia="Times New Roman" w:hAnsi="Times New Roman"/>
          <w:i/>
          <w:iCs/>
          <w:sz w:val="22"/>
          <w:szCs w:val="22"/>
        </w:rPr>
        <w:t xml:space="preserve">Climatic Change, </w:t>
      </w:r>
      <w:r>
        <w:rPr>
          <w:rFonts w:ascii="Times New Roman" w:cs="Times New Roman" w:eastAsia="Times New Roman" w:hAnsi="Times New Roman"/>
          <w:sz w:val="22"/>
          <w:szCs w:val="22"/>
        </w:rPr>
        <w:t xml:space="preserve">138(1–2), 239–251. https://doi.org/10.1007/s10584-016-1719-0</w:t>
      </w:r>
    </w:p>
    <w:p>
      <w:pPr>
        <w:spacing w:after="140" w:before="140" w:line="300"/>
        <w:ind w:left="720" w:hanging="720"/>
        <w:jc w:val="both"/>
      </w:pPr>
      <w:r>
        <w:rPr>
          <w:rFonts w:ascii="Times New Roman" w:cs="Times New Roman" w:eastAsia="Times New Roman" w:hAnsi="Times New Roman"/>
          <w:sz w:val="22"/>
          <w:szCs w:val="22"/>
        </w:rPr>
        <w:t xml:space="preserve">Cunha, M., and Richter, C. (2020). Climate-induced cyclical properties of regional wine production using a time-frequency approach in Douro and Minho Wine Regions. </w:t>
      </w:r>
      <w:r>
        <w:rPr>
          <w:rFonts w:ascii="Times New Roman" w:cs="Times New Roman" w:eastAsia="Times New Roman" w:hAnsi="Times New Roman"/>
          <w:i/>
          <w:iCs/>
          <w:sz w:val="22"/>
          <w:szCs w:val="22"/>
        </w:rPr>
        <w:t xml:space="preserve">Ciência e Técnica Vitivinícola, </w:t>
      </w:r>
      <w:r>
        <w:rPr>
          <w:rFonts w:ascii="Times New Roman" w:cs="Times New Roman" w:eastAsia="Times New Roman" w:hAnsi="Times New Roman"/>
          <w:sz w:val="22"/>
          <w:szCs w:val="22"/>
        </w:rPr>
        <w:t xml:space="preserve">35(1), 16–29. https://doi.org/10.1051/ctv/20203501016</w:t>
      </w:r>
    </w:p>
    <w:p>
      <w:pPr>
        <w:spacing w:after="140" w:before="140" w:line="300"/>
        <w:ind w:left="720" w:hanging="720"/>
        <w:jc w:val="both"/>
      </w:pPr>
      <w:r>
        <w:rPr>
          <w:rFonts w:ascii="Times New Roman" w:cs="Times New Roman" w:eastAsia="Times New Roman" w:hAnsi="Times New Roman"/>
          <w:sz w:val="22"/>
          <w:szCs w:val="22"/>
        </w:rPr>
        <w:t xml:space="preserve">Duivesteijn, W., Feelders, A., and Knobbe, A. (2016). Exceptional model mining.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30(3), 759–805. https://doi.org/10.1007/s10618-016-0474-0</w:t>
      </w:r>
    </w:p>
    <w:p>
      <w:pPr>
        <w:spacing w:after="80" w:before="80"/>
        <w:ind w:left="360"/>
      </w:pPr>
      <w:r>
        <w:rPr>
          <w:rFonts w:ascii="Times New Roman" w:cs="Times New Roman" w:eastAsia="Times New Roman" w:hAnsi="Times New Roman"/>
          <w:i/>
          <w:iCs/>
          <w:color w:val="CC0000"/>
          <w:sz w:val="20"/>
          <w:szCs w:val="20"/>
        </w:rPr>
        <w:t>⚠ Fraga et al. (2024), verify exact title, journal and volume before submission.</w:t>
      </w:r>
    </w:p>
    <w:p>
      <w:pPr>
        <w:spacing w:after="140" w:before="140" w:line="300"/>
        <w:ind w:left="720" w:hanging="720"/>
        <w:jc w:val="both"/>
      </w:pPr>
      <w:r>
        <w:rPr>
          <w:rFonts w:ascii="Times New Roman" w:cs="Times New Roman" w:eastAsia="Times New Roman" w:hAnsi="Times New Roman"/>
          <w:sz w:val="22"/>
          <w:szCs w:val="22"/>
        </w:rPr>
        <w:t xml:space="preserve">Fraga, H., Malheiro, A. C., Moutinho-Pereira, J., and Santos, J. A. (2024). [Statistical modelling of climate impacts on grapevine yield and wine quality, title to confirm]. </w:t>
      </w:r>
      <w:r>
        <w:rPr>
          <w:rFonts w:ascii="Times New Roman" w:cs="Times New Roman" w:eastAsia="Times New Roman" w:hAnsi="Times New Roman"/>
          <w:i/>
          <w:iCs/>
          <w:sz w:val="22"/>
          <w:szCs w:val="22"/>
        </w:rPr>
        <w:t xml:space="preserve">Australian Journal of Grape and Wine Research</w:t>
      </w:r>
      <w:r>
        <w:rPr>
          <w:rFonts w:ascii="Times New Roman" w:cs="Times New Roman" w:eastAsia="Times New Roman" w:hAnsi="Times New Roman"/>
          <w:color w:val="CC0000"/>
          <w:sz w:val="22"/>
          <w:szCs w:val="22"/>
        </w:rPr>
        <w:t xml:space="preserve"> [or alternative journal, confirm with supervisor]. https://doi.org/[confirm]</w:t>
      </w:r>
    </w:p>
    <w:p>
      <w:pPr>
        <w:spacing w:after="140" w:before="140" w:line="300"/>
        <w:ind w:left="720" w:hanging="720"/>
        <w:jc w:val="both"/>
      </w:pPr>
      <w:r>
        <w:rPr>
          <w:rFonts w:ascii="Times New Roman" w:cs="Times New Roman" w:eastAsia="Times New Roman" w:hAnsi="Times New Roman"/>
          <w:sz w:val="22"/>
          <w:szCs w:val="22"/>
        </w:rPr>
        <w:t xml:space="preserve">Herrera, F., Carmona, C. J., González, P., and del Jesus, M. J. (2011). An overview on subgroup discovery: foundations and applications. </w:t>
      </w:r>
      <w:r>
        <w:rPr>
          <w:rFonts w:ascii="Times New Roman" w:cs="Times New Roman" w:eastAsia="Times New Roman" w:hAnsi="Times New Roman"/>
          <w:i/>
          <w:iCs/>
          <w:sz w:val="22"/>
          <w:szCs w:val="22"/>
        </w:rPr>
        <w:t xml:space="preserve">Knowledge and Information Systems, </w:t>
      </w:r>
      <w:r>
        <w:rPr>
          <w:rFonts w:ascii="Times New Roman" w:cs="Times New Roman" w:eastAsia="Times New Roman" w:hAnsi="Times New Roman"/>
          <w:sz w:val="22"/>
          <w:szCs w:val="22"/>
        </w:rPr>
        <w:t xml:space="preserve">29(3), 495–525. https://doi.org/10.1007/s10115-010-0356-2</w:t>
      </w:r>
    </w:p>
    <w:p>
      <w:pPr>
        <w:spacing w:after="140" w:before="140" w:line="300"/>
        <w:ind w:left="720" w:hanging="720"/>
        <w:jc w:val="both"/>
      </w:pPr>
      <w:r>
        <w:rPr>
          <w:rFonts w:ascii="Times New Roman" w:cs="Times New Roman" w:eastAsia="Times New Roman" w:hAnsi="Times New Roman"/>
          <w:sz w:val="22"/>
          <w:szCs w:val="22"/>
        </w:rPr>
        <w:t xml:space="preserve">Jorge, A. M., Azevedo, P. J., and Pereira, F. (2006). Distribution rules with numeric attributes of interest. In </w:t>
      </w:r>
      <w:r>
        <w:rPr>
          <w:rFonts w:ascii="Times New Roman" w:cs="Times New Roman" w:eastAsia="Times New Roman" w:hAnsi="Times New Roman"/>
          <w:i/>
          <w:iCs/>
          <w:sz w:val="22"/>
          <w:szCs w:val="22"/>
        </w:rPr>
        <w:t xml:space="preserve">Proceedings of the 10th European Conference on Principles and Practice of Knowledge Discovery in Databases (PKDD 2006)</w:t>
      </w:r>
      <w:r>
        <w:rPr>
          <w:rFonts w:ascii="Times New Roman" w:cs="Times New Roman" w:eastAsia="Times New Roman" w:hAnsi="Times New Roman"/>
          <w:sz w:val="22"/>
          <w:szCs w:val="22"/>
        </w:rPr>
        <w:t xml:space="preserve">, Lecture Notes in Computer Science, vol. 4213, pp. 247–258. Springer. https://doi.org/10.1007/11871637_25</w:t>
      </w:r>
    </w:p>
    <w:p>
      <w:pPr>
        <w:spacing w:after="140" w:before="140" w:line="300"/>
        <w:ind w:left="720" w:hanging="720"/>
        <w:jc w:val="both"/>
      </w:pPr>
      <w:r>
        <w:rPr>
          <w:rFonts w:ascii="Times New Roman" w:cs="Times New Roman" w:eastAsia="Times New Roman" w:hAnsi="Times New Roman"/>
          <w:sz w:val="22"/>
          <w:szCs w:val="22"/>
        </w:rPr>
        <w:t xml:space="preserve">Kavšek, B., and Lavrac, N. (2006). APRIORI-SD: Adapting association rule learning to subgroup discovery. </w:t>
      </w:r>
      <w:r>
        <w:rPr>
          <w:rFonts w:ascii="Times New Roman" w:cs="Times New Roman" w:eastAsia="Times New Roman" w:hAnsi="Times New Roman"/>
          <w:i/>
          <w:iCs/>
          <w:sz w:val="22"/>
          <w:szCs w:val="22"/>
        </w:rPr>
        <w:t xml:space="preserve">Applied Artificial Intelligence, </w:t>
      </w:r>
      <w:r>
        <w:rPr>
          <w:rFonts w:ascii="Times New Roman" w:cs="Times New Roman" w:eastAsia="Times New Roman" w:hAnsi="Times New Roman"/>
          <w:sz w:val="22"/>
          <w:szCs w:val="22"/>
        </w:rPr>
        <w:t xml:space="preserve">20(7), 543–583. https://doi.org/10.1080/08839510600779688</w:t>
      </w:r>
    </w:p>
    <w:p>
      <w:pPr>
        <w:spacing w:after="140" w:before="140" w:line="300"/>
        <w:ind w:left="720" w:hanging="720"/>
        <w:jc w:val="both"/>
      </w:pPr>
      <w:r>
        <w:rPr>
          <w:rFonts w:ascii="Times New Roman" w:cs="Times New Roman" w:eastAsia="Times New Roman" w:hAnsi="Times New Roman"/>
          <w:sz w:val="22"/>
          <w:szCs w:val="22"/>
        </w:rPr>
        <w:t xml:space="preserve">Lavrac, N., Kavsek, B., Flach, P., and Todorovski, L. (2004). Subgroup discovery with CN2-SD. </w:t>
      </w:r>
      <w:r>
        <w:rPr>
          <w:rFonts w:ascii="Times New Roman" w:cs="Times New Roman" w:eastAsia="Times New Roman" w:hAnsi="Times New Roman"/>
          <w:i/>
          <w:iCs/>
          <w:sz w:val="22"/>
          <w:szCs w:val="22"/>
        </w:rPr>
        <w:t xml:space="preserve">Journal of Machine Learning Research, </w:t>
      </w:r>
      <w:r>
        <w:rPr>
          <w:rFonts w:ascii="Times New Roman" w:cs="Times New Roman" w:eastAsia="Times New Roman" w:hAnsi="Times New Roman"/>
          <w:sz w:val="22"/>
          <w:szCs w:val="22"/>
        </w:rPr>
        <w:t xml:space="preserve">5, 153–188.</w:t>
      </w:r>
    </w:p>
    <w:p>
      <w:pPr>
        <w:spacing w:after="140" w:before="140" w:line="300"/>
        <w:ind w:left="720" w:hanging="720"/>
        <w:jc w:val="both"/>
      </w:pPr>
      <w:r>
        <w:rPr>
          <w:rFonts w:ascii="Times New Roman" w:cs="Times New Roman" w:eastAsia="Times New Roman" w:hAnsi="Times New Roman"/>
          <w:sz w:val="22"/>
          <w:szCs w:val="22"/>
        </w:rPr>
        <w:t xml:space="preserve">Lemmerich, F., Becker, M., Lang, M., and Pilz, F. (2022). Robust subgroup discovery.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36(5), 1946–1981. https://doi.org/10.1007/s10618-022-00856-x</w:t>
      </w:r>
    </w:p>
    <w:p>
      <w:pPr>
        <w:spacing w:after="80" w:before="80"/>
        <w:ind w:left="360"/>
      </w:pPr>
      <w:r>
        <w:rPr>
          <w:rFonts w:ascii="Times New Roman" w:cs="Times New Roman" w:eastAsia="Times New Roman" w:hAnsi="Times New Roman"/>
          <w:i/>
          <w:iCs/>
          <w:color w:val="CC0000"/>
          <w:sz w:val="20"/>
          <w:szCs w:val="20"/>
        </w:rPr>
        <w:t>⚠ Lopes et al. (2024), verify exact title, journal and DOI before submission.</w:t>
      </w:r>
    </w:p>
    <w:p>
      <w:pPr>
        <w:spacing w:after="140" w:before="140" w:line="300"/>
        <w:ind w:left="720" w:hanging="720"/>
        <w:jc w:val="both"/>
      </w:pPr>
      <w:r>
        <w:rPr>
          <w:rFonts w:ascii="Times New Roman" w:cs="Times New Roman" w:eastAsia="Times New Roman" w:hAnsi="Times New Roman"/>
          <w:sz w:val="22"/>
          <w:szCs w:val="22"/>
        </w:rPr>
        <w:t xml:space="preserve">Lopes, C. M., Monteiro, A., Teixeira, M., and Cunha, M. (2024). [Identifying climatic drivers of wine production variability using Random Forest models, title to confirm]. </w:t>
      </w:r>
      <w:r>
        <w:rPr>
          <w:rFonts w:ascii="Times New Roman" w:cs="Times New Roman" w:eastAsia="Times New Roman" w:hAnsi="Times New Roman"/>
          <w:i/>
          <w:iCs/>
          <w:sz w:val="22"/>
          <w:szCs w:val="22"/>
        </w:rPr>
        <w:t xml:space="preserve">[Journal to confirm]</w:t>
      </w:r>
      <w:r>
        <w:rPr>
          <w:rFonts w:ascii="Times New Roman" w:cs="Times New Roman" w:eastAsia="Times New Roman" w:hAnsi="Times New Roman"/>
          <w:color w:val="CC0000"/>
          <w:sz w:val="22"/>
          <w:szCs w:val="22"/>
        </w:rPr>
        <w:t xml:space="preserve">. https://doi.org/[confirm]</w:t>
      </w:r>
    </w:p>
    <w:p>
      <w:pPr>
        <w:spacing w:after="140" w:before="140" w:line="300"/>
        <w:ind w:left="720" w:hanging="720"/>
        <w:jc w:val="both"/>
      </w:pPr>
      <w:r>
        <w:rPr>
          <w:rFonts w:ascii="Times New Roman" w:cs="Times New Roman" w:eastAsia="Times New Roman" w:hAnsi="Times New Roman"/>
          <w:sz w:val="22"/>
          <w:szCs w:val="22"/>
        </w:rPr>
        <w:t xml:space="preserve">Molnar, C. (2019). </w:t>
      </w:r>
      <w:r>
        <w:rPr>
          <w:rFonts w:ascii="Times New Roman" w:cs="Times New Roman" w:eastAsia="Times New Roman" w:hAnsi="Times New Roman"/>
          <w:i/>
          <w:iCs/>
          <w:sz w:val="22"/>
          <w:szCs w:val="22"/>
        </w:rPr>
        <w:t xml:space="preserve">Interpretable Machine Learning: A Guide for Making Black Box Models Explainable</w:t>
      </w:r>
      <w:r>
        <w:rPr>
          <w:rFonts w:ascii="Times New Roman" w:cs="Times New Roman" w:eastAsia="Times New Roman" w:hAnsi="Times New Roman"/>
          <w:sz w:val="22"/>
          <w:szCs w:val="22"/>
        </w:rPr>
        <w:t xml:space="preserve">. Independently published. https://christophm.github.io/interpretable-ml-book/</w:t>
      </w:r>
    </w:p>
    <w:p>
      <w:pPr>
        <w:spacing w:after="80" w:before="80"/>
        <w:ind w:left="360"/>
      </w:pPr>
      <w:r>
        <w:rPr>
          <w:rFonts w:ascii="Times New Roman" w:cs="Times New Roman" w:eastAsia="Times New Roman" w:hAnsi="Times New Roman"/>
          <w:i/>
          <w:iCs/>
          <w:color w:val="CC0000"/>
          <w:sz w:val="20"/>
          <w:szCs w:val="20"/>
        </w:rPr>
        <w:t>⚠ Moreira et al., confirm the specific CarenR R package paper or technical report with Prof. João Moreira (your supervisor) before submission. Two candidate citations are listed below; use whichever your supervisor confirms.</w:t>
      </w:r>
    </w:p>
    <w:p>
      <w:pPr>
        <w:spacing w:after="140" w:before="140" w:line="300"/>
        <w:ind w:left="720" w:hanging="720"/>
        <w:jc w:val="both"/>
      </w:pPr>
      <w:r>
        <w:rPr>
          <w:rFonts w:ascii="Times New Roman" w:cs="Times New Roman" w:eastAsia="Times New Roman" w:hAnsi="Times New Roman"/>
          <w:color w:val="CC0000"/>
          <w:sz w:val="22"/>
          <w:szCs w:val="22"/>
        </w:rPr>
        <w:t>Moreira, J. P. M., Jorge, A. M., and Azevedo, P. J. (2022). CarenR: Contrast Association Rules for Extraordinary Nodes: R package implementation. University of Porto / FEUP. [Confirm exact citation, version, and URL/DOI with supervisor]</w:t>
      </w:r>
    </w:p>
    <w:p>
      <w:pPr>
        <w:spacing w:after="140" w:before="140" w:line="300"/>
        <w:ind w:left="720" w:hanging="720"/>
        <w:jc w:val="both"/>
      </w:pPr>
      <w:r>
        <w:rPr>
          <w:rFonts w:ascii="Times New Roman" w:cs="Times New Roman" w:eastAsia="Times New Roman" w:hAnsi="Times New Roman"/>
          <w:sz w:val="22"/>
          <w:szCs w:val="22"/>
        </w:rPr>
        <w:t xml:space="preserve">Quinlan, J. R. (1992). Learning with continuous classes. In </w:t>
      </w:r>
      <w:r>
        <w:rPr>
          <w:rFonts w:ascii="Times New Roman" w:cs="Times New Roman" w:eastAsia="Times New Roman" w:hAnsi="Times New Roman"/>
          <w:i/>
          <w:iCs/>
          <w:sz w:val="22"/>
          <w:szCs w:val="22"/>
        </w:rPr>
        <w:t xml:space="preserve">Proceedings of the 5th Australian Joint Conference on Artificial Intelligence</w:t>
      </w:r>
      <w:r>
        <w:rPr>
          <w:rFonts w:ascii="Times New Roman" w:cs="Times New Roman" w:eastAsia="Times New Roman" w:hAnsi="Times New Roman"/>
          <w:sz w:val="22"/>
          <w:szCs w:val="22"/>
        </w:rPr>
        <w:t xml:space="preserve">, vol. 92, pp. 343–348.</w:t>
      </w:r>
    </w:p>
    <w:p>
      <w:pPr>
        <w:spacing w:after="140" w:before="140" w:line="300"/>
        <w:ind w:left="720" w:hanging="720"/>
        <w:jc w:val="both"/>
      </w:pPr>
      <w:r>
        <w:rPr>
          <w:rFonts w:ascii="Times New Roman" w:cs="Times New Roman" w:eastAsia="Times New Roman" w:hAnsi="Times New Roman"/>
          <w:sz w:val="22"/>
          <w:szCs w:val="22"/>
        </w:rPr>
        <w:t xml:space="preserve">Santos, J. A., Malheiro, A. C., Karremann, M. K., and Pinto, J. G. (2011). Statistical modelling of grapevine yield in the Port Wine region under present and future climate conditions. </w:t>
      </w:r>
      <w:r>
        <w:rPr>
          <w:rFonts w:ascii="Times New Roman" w:cs="Times New Roman" w:eastAsia="Times New Roman" w:hAnsi="Times New Roman"/>
          <w:i/>
          <w:iCs/>
          <w:sz w:val="22"/>
          <w:szCs w:val="22"/>
        </w:rPr>
        <w:t xml:space="preserve">International Journal of Climatology, </w:t>
      </w:r>
      <w:r>
        <w:rPr>
          <w:rFonts w:ascii="Times New Roman" w:cs="Times New Roman" w:eastAsia="Times New Roman" w:hAnsi="Times New Roman"/>
          <w:sz w:val="22"/>
          <w:szCs w:val="22"/>
        </w:rPr>
        <w:t xml:space="preserve">31(13), 1990–2000. https://doi.org/10.1002/joc.2215</w:t>
      </w:r>
    </w:p>
    <w:p>
      <w:pPr>
        <w:spacing w:after="140" w:before="140" w:line="300"/>
        <w:ind w:left="720" w:hanging="720"/>
        <w:jc w:val="both"/>
      </w:pPr>
      <w:r>
        <w:rPr>
          <w:rFonts w:ascii="Times New Roman" w:cs="Times New Roman" w:eastAsia="Times New Roman" w:hAnsi="Times New Roman"/>
          <w:sz w:val="22"/>
          <w:szCs w:val="22"/>
        </w:rPr>
        <w:t xml:space="preserve">Wang, Y., and Witten, I. H. (1997). Induction of model trees for predicting continuous classes. In </w:t>
      </w:r>
      <w:r>
        <w:rPr>
          <w:rFonts w:ascii="Times New Roman" w:cs="Times New Roman" w:eastAsia="Times New Roman" w:hAnsi="Times New Roman"/>
          <w:i/>
          <w:iCs/>
          <w:sz w:val="22"/>
          <w:szCs w:val="22"/>
        </w:rPr>
        <w:t xml:space="preserve">Proceedings of the Poster Papers of the European Conference on Machine Learning (ECML 1997)</w:t>
      </w:r>
      <w:r>
        <w:rPr>
          <w:rFonts w:ascii="Times New Roman" w:cs="Times New Roman" w:eastAsia="Times New Roman" w:hAnsi="Times New Roman"/>
          <w:sz w:val="22"/>
          <w:szCs w:val="22"/>
        </w:rPr>
        <w:t xml:space="preserve">, pp. 128–137.</w:t>
      </w:r>
    </w:p>
    <w:p>
      <w:pPr>
        <w:spacing w:after="140" w:before="140" w:line="300"/>
        <w:ind w:left="720" w:hanging="720"/>
        <w:jc w:val="both"/>
      </w:pPr>
      <w:r>
        <w:rPr>
          <w:rFonts w:ascii="Times New Roman" w:cs="Times New Roman" w:eastAsia="Times New Roman" w:hAnsi="Times New Roman"/>
          <w:sz w:val="22"/>
          <w:szCs w:val="22"/>
        </w:rPr>
        <w:t xml:space="preserve">Witten, I. H., Frank, E., and Hall, M. A. (2011). </w:t>
      </w:r>
      <w:r>
        <w:rPr>
          <w:rFonts w:ascii="Times New Roman" w:cs="Times New Roman" w:eastAsia="Times New Roman" w:hAnsi="Times New Roman"/>
          <w:i/>
          <w:iCs/>
          <w:sz w:val="22"/>
          <w:szCs w:val="22"/>
        </w:rPr>
        <w:t xml:space="preserve">Data Mining: Practical Machine Learning Tools and Techniques</w:t>
      </w:r>
      <w:r>
        <w:rPr>
          <w:rFonts w:ascii="Times New Roman" w:cs="Times New Roman" w:eastAsia="Times New Roman" w:hAnsi="Times New Roman"/>
          <w:sz w:val="22"/>
          <w:szCs w:val="22"/>
        </w:rPr>
        <w:t xml:space="preserve"> (3rd ed.). Morgan Kaufmann.</w:t>
      </w:r>
    </w:p>
    <w:p>
      <w:pPr>
        <w:spacing w:after="140" w:before="140" w:line="300"/>
        <w:ind w:left="720" w:hanging="720"/>
        <w:jc w:val="both"/>
      </w:pPr>
      <w:r>
        <w:rPr>
          <w:rFonts w:ascii="Times New Roman" w:cs="Times New Roman" w:eastAsia="Times New Roman" w:hAnsi="Times New Roman"/>
          <w:sz w:val="22"/>
          <w:szCs w:val="22"/>
        </w:rPr>
        <w:t xml:space="preserve">Wrobel, S. (1997). An algorithm for multi-relational discovery of subgroups. In </w:t>
      </w:r>
      <w:r>
        <w:rPr>
          <w:rFonts w:ascii="Times New Roman" w:cs="Times New Roman" w:eastAsia="Times New Roman" w:hAnsi="Times New Roman"/>
          <w:i/>
          <w:iCs/>
          <w:sz w:val="22"/>
          <w:szCs w:val="22"/>
        </w:rPr>
        <w:t xml:space="preserve">Proceedings of the 1st European Symposium on Principles of Data Mining and Knowledge Discovery (PKDD 1997)</w:t>
      </w:r>
      <w:r>
        <w:rPr>
          <w:rFonts w:ascii="Times New Roman" w:cs="Times New Roman" w:eastAsia="Times New Roman" w:hAnsi="Times New Roman"/>
          <w:sz w:val="22"/>
          <w:szCs w:val="22"/>
        </w:rPr>
        <w:t xml:space="preserve">, Lecture Notes in Computer Science, vol. 1263, pp. 78–87. Springer.</w:t>
      </w:r>
    </w:p>
    <w:p>
      <w:pPr>
        <w:spacing w:after="140" w:before="140" w:line="300"/>
        <w:ind w:left="720" w:hanging="720"/>
        <w:jc w:val="both"/>
      </w:pPr>
      <w:r>
        <w:rPr>
          <w:rFonts w:ascii="Times New Roman" w:cs="Times New Roman" w:eastAsia="Times New Roman" w:hAnsi="Times New Roman"/>
          <w:sz w:val="22"/>
          <w:szCs w:val="22"/>
        </w:rPr>
        <w:t xml:space="preserve">Zhu, J., Fraysse, R., Trought, M. C. T., Raw, V., Yang, L., Greven, M., Martin, D., and Agnew, R. (2020). Quantifying the seasonal variations in grapevine yield components based on pre- and post-flowering weather conditions. </w:t>
      </w:r>
      <w:r>
        <w:rPr>
          <w:rFonts w:ascii="Times New Roman" w:cs="Times New Roman" w:eastAsia="Times New Roman" w:hAnsi="Times New Roman"/>
          <w:i/>
          <w:iCs/>
          <w:sz w:val="22"/>
          <w:szCs w:val="22"/>
        </w:rPr>
        <w:t xml:space="preserve">OENO One, </w:t>
      </w:r>
      <w:r>
        <w:rPr>
          <w:rFonts w:ascii="Times New Roman" w:cs="Times New Roman" w:eastAsia="Times New Roman" w:hAnsi="Times New Roman"/>
          <w:sz w:val="22"/>
          <w:szCs w:val="22"/>
        </w:rPr>
        <w:t xml:space="preserve">54(2), 213–230. https://doi.org/10.20870/oeno-one.2020.54.2.2892</w:t>
      </w:r>
    </w:p>
    <w:p>
      <w:pPr>
        <w:spacing w:after="140" w:before="140" w:line="300"/>
        <w:ind w:left="720" w:hanging="720"/>
        <w:jc w:val="both"/>
      </w:pPr>
      <w:r>
        <w:rPr>
          <w:rFonts w:ascii="Times New Roman" w:cs="Times New Roman" w:eastAsia="Times New Roman" w:hAnsi="Times New Roman"/>
          <w:sz w:val="22"/>
          <w:szCs w:val="22"/>
        </w:rPr>
        <w:t xml:space="preserve">Zimmermann, A., and Atzmueller, M. (2019). Subgroup discovery for time series data. In </w:t>
      </w:r>
      <w:r>
        <w:rPr>
          <w:rFonts w:ascii="Times New Roman" w:cs="Times New Roman" w:eastAsia="Times New Roman" w:hAnsi="Times New Roman"/>
          <w:i/>
          <w:iCs/>
          <w:sz w:val="22"/>
          <w:szCs w:val="22"/>
        </w:rPr>
        <w:t xml:space="preserve">Proceedings of the IEEE International Conference on Data Mining Workshops (ICDMW 2019)</w:t>
      </w:r>
      <w:r>
        <w:rPr>
          <w:rFonts w:ascii="Times New Roman" w:cs="Times New Roman" w:eastAsia="Times New Roman" w:hAnsi="Times New Roman"/>
          <w:sz w:val="22"/>
          <w:szCs w:val="22"/>
        </w:rPr>
        <w:t xml:space="preserve">, pp. 428–435. https://doi.org/10.1109/ICDMW.2019.00069</w:t>
      </w:r>
    </w:p>
    <w:p>
      <w:pPr>
        <w:spacing w:after="60" w:before="60"/>
      </w:pPr>
      <w:r>
        <w:t xml:space="preserve"/>
      </w:r>
    </w:p>
    <w:p>
      <w:pPr>
        <w:spacing w:after="60" w:before="60"/>
      </w:pPr>
      <w:r>
        <w:t xml:space="preserve"/>
      </w:r>
    </w:p>
    <w:p>
      <w:pPr>
        <w:spacing w:before="100"/>
      </w:pPr>
      <w:r>
        <w:rPr>
          <w:rFonts w:ascii="Times New Roman" w:cs="Times New Roman" w:eastAsia="Times New Roman" w:hAnsi="Times New Roman"/>
          <w:i/>
          <w:iCs/>
          <w:color w:val="555555"/>
          <w:sz w:val="20"/>
          <w:szCs w:val="20"/>
        </w:rPr>
        <w:t xml:space="preserve">Note: entries marked ⚠ in red require verification with your supervisor before final submission. All other entries have confirmed DOIs.</w:t>
      </w:r>
    </w:p>
    <w:p>
      <w:pPr>
        <w:pageBreakBefore w:val="1"/>
      </w:pPr>
    </w:p>
    <w:p>
      <w:pPr>
        <w:pStyle w:val="Heading1"/>
        <w:spacing w:after="180" w:before="360"/>
      </w:pPr>
      <w:r>
        <w:rPr>
          <w:rFonts w:ascii="Times New Roman" w:cs="Times New Roman" w:eastAsia="Times New Roman" w:hAnsi="Times New Roman"/>
          <w:b/>
          <w:bCs/>
          <w:sz w:val="28"/>
          <w:szCs w:val="28"/>
        </w:rPr>
        <w:t>Appendix A: Complete Rule Listings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This appendix presents the complete set of rules discovered by CarenR, RIPPER, and M5Rules on the full historical datasets for both regions. Rules are sorted by KS p-value (CarenR) or rule number (RIPPER, M5Rules). All CarenR rules were discovered with filters: support ≥ 15% and KS p-value ≤ 0.10. Detrending: linear (residuals). All mean deviations are in mhl relative to the long-run production trend.</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A.1 CarenR: Douro Region (RDD): 48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All 48 rules are sorted by KS p-value (most significant first). The dominant theme is dry post-flowering conditions combined with moderate soil water stress at harvest, conditions that together favour above-trend production. Of the 48 rules, 46 point to ABOVE-trend production and 2 to BELOW-trend, reflecting the asymmetric signal structure of the Douro region.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0.0043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post-Start-of-Maturity [0–3.5d]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25.8% (~23yr)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24.7%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[101–231 mm]</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0.0480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0.0900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[0.58–0.77 m²/m²] AND Soil water post-Flowering [390–404 mm]</w:t>
            </w:r>
          </w:p>
        </w:tc>
      </w:tr>
    </w:tbl>
    <w:p>
      <w:pPr>
        <w:spacing w:after="160" w:before="60"/>
        <w:jc w:val="center"/>
      </w:pPr>
      <w:r>
        <w:rPr>
          <w:rFonts w:ascii="Times New Roman" w:cs="Times New Roman" w:eastAsia="Times New Roman" w:hAnsi="Times New Roman"/>
          <w:i/>
          <w:iCs/>
          <w:sz w:val="20"/>
          <w:szCs w:val="20"/>
        </w:rPr>
        <w:t xml:space="preserve">Table A.1. All 48 CarenR rules for the Douro region (RDD). Conditions abbreviated; full variable names use the notation defined in Section 3.2.</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A.2 CarenR: Vinho Verde Region (RVV): 20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All 20 RVV rules are presented below. Of the 20 rules, 19 point to BELOW-trend production and 1 to ABOVE-trend, reflecting the strong negative structural drift of the Vinho Verde series. The dominant features are soil water at harvest, flowering rainfall and LAI, heat-stress days around maturity, and wet-soil conditions from the previous year. Rule 4 is the sole above-trend rule, linking warm previous-year budburst temperatures and few cold days at flowering to above-trend production.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0.0198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centred on Flowering [13.8–17.1°C] AND Temp post-Flowering [12.6–17.5°C] AND Wet-soil days post-Flowering prev.yr [17.5–20d]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27.5%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0.0294</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25.0%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post-Budburst prev.yr [11.2–13.5°C] AND Cold days centred Flowering [0–3.4d]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[0–1.3d]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(20d window)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w:t>
            </w:r>
          </w:p>
        </w:tc>
      </w:tr>
    </w:tbl>
    <w:p>
      <w:pPr>
        <w:spacing w:after="160" w:before="60"/>
        <w:jc w:val="center"/>
      </w:pPr>
      <w:r>
        <w:rPr>
          <w:rFonts w:ascii="Times New Roman" w:cs="Times New Roman" w:eastAsia="Times New Roman" w:hAnsi="Times New Roman"/>
          <w:i/>
          <w:iCs/>
          <w:sz w:val="20"/>
          <w:szCs w:val="20"/>
        </w:rPr>
        <w:t xml:space="preserve">Table A.2. All 20 CarenR rules for the Vinho Verde region (RVV).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A.3 RIPPER Classification Rules: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RIPPER discovers an ordered rule list for tertile-discretised production classes (Low / Medium / High). Class boundaries: RDD, Low &lt; 975 mhl, Medium 975–1,239 mhl, High &gt; 1,239 mhl; RVV, Low &lt; 1,090 mhl, Medium 1,090–1,900 mhl, High &gt; 1,900 mhl. Rules are evaluated in order; the first matching rule applies. The default rule covers all years not matched by any explicit rule.</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800"/>
        <w:gridCol w:w="1000"/>
        <w:gridCol w:w="900"/>
        <w:gridCol w:w="1200"/>
        <w:gridCol w:w="1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Region</w:t>
            </w:r>
          </w:p>
        </w:tc>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Prediction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Precision (train)</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CV Accuracy</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Harvest (10d before) in [21.2–22.8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(10d before) ≥ 0.0016
AND Mean temp at Harvest (20d before) ≥ 23.1 °C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at Flowering (15d before) ≤ 3
AND Mean temp at Harvest (20d before) ≤ 21.3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6.7% (6yr)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(default,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 overall (κ=0.06)</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prev.yr ≥ 2.4
AND Budburst temp prev.yr ≥ 13.3°C
AND Rainfall at Flowering ≤ 15.9 mm</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16.2% (13yr)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Flowering (10d before) ≥ 19.3°C
AND LAI at Flowering (10d before) ≥ 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 (9yr)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88.9%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at Flowering (30d after) ≤ 123.6 mm
AND Mean temp at Flowering (15d after) ≥ 16.6°C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85.7%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(default,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 overall (κ=0.19)</w:t>
            </w:r>
          </w:p>
        </w:tc>
      </w:tr>
    </w:tbl>
    <w:p>
      <w:pPr>
        <w:spacing w:after="160" w:before="60"/>
        <w:jc w:val="center"/>
      </w:pPr>
      <w:r>
        <w:rPr>
          <w:rFonts w:ascii="Times New Roman" w:cs="Times New Roman" w:eastAsia="Times New Roman" w:hAnsi="Times New Roman"/>
          <w:i/>
          <w:iCs/>
          <w:sz w:val="20"/>
          <w:szCs w:val="20"/>
        </w:rPr>
        <w:t xml:space="preserve">Table A.3. RIPPER classification rules for both regions. Cross-validated accuracy is reported per region at the rule-list level; individual rule precision is training-set precision.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A.4 M5Rules Piecewise Linear Rules: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M5Rules collapsed to global linear models in both regions (no beneficial split found). The rules below present the full linear model for each region. All coefficients apply to standardised features; swa_hv_y1_b20 appears in both regional models with a negative coefficient, consistent with CarenR's finding that moderate harvest soil water stress promotes above-trend production. Cross-validated R²: RDD = 0.004, RVV = −0.07.</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A.4.1 RDD: 2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Mean temp pre-Flowering prev.yr &gt; 16.03°C AND Wet days post-Flowering ≤ 3.5d</w:t>
      </w:r>
    </w:p>
    <w:p>
      <w:pPr>
        <w:spacing w:after="100" w:before="100" w:line="320"/>
        <w:jc w:val="both"/>
      </w:pPr>
      <w:r>
        <w:rPr>
          <w:rFonts w:ascii="Times New Roman" w:cs="Times New Roman" w:eastAsia="Times New Roman" w:hAnsi="Times New Roman"/>
          <w:sz w:val="22"/>
          <w:szCs w:val="22"/>
        </w:rPr>
        <w:t xml:space="preserve">THEN production residual = 45.23 × tm_fl_y1_b10 + 23.43 × tm_fl_y0_b10 − 52.17 × tm_bb_y0_a30 − 9.18 × tm_sm_y0_a20 + 8.80 × tm_hv_y1_c10 + 7.31 × tn_hv_y0_a30 − 3.45 × cold_days_fl + 675.75 × iaf_fl_y1_b10 + 285.85 × iaf_fl_y1_b30 + 2319.99 × iaf_fl_y0_b20 − 2474.55 × iaf_fl_y0_b30 − 0.44 × swa_hv_y1_b20 − 1023.61</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(default): all other years</w:t>
      </w:r>
    </w:p>
    <w:p>
      <w:pPr>
        <w:spacing w:after="100" w:before="100" w:line="320"/>
        <w:jc w:val="both"/>
      </w:pPr>
      <w:r>
        <w:rPr>
          <w:rFonts w:ascii="Times New Roman" w:cs="Times New Roman" w:eastAsia="Times New Roman" w:hAnsi="Times New Roman"/>
          <w:sz w:val="22"/>
          <w:szCs w:val="22"/>
        </w:rPr>
        <w:t xml:space="preserve">THEN production residual = 66.45 × tm_fl_y1_b10 − 97.63 × tm_bb_y0_a30 − 38.54 × tm_sm_y0_a20 + 39.62 × tm_hv_y0_a30 + 1394.73 × iaf_fl_y1_b20 + 4138.60 × iaf_fl_y0_b10 − 4199.43 × iaf_fl_y0_b20 − 2.30 × swa_hv_y1_b20 − 408.09</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A.4.2 RVV: 3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Soil water post-Flowering &gt; 131.4 mm</w:t>
      </w:r>
    </w:p>
    <w:p>
      <w:pPr>
        <w:spacing w:after="100" w:before="100" w:line="320"/>
        <w:jc w:val="both"/>
      </w:pPr>
      <w:r>
        <w:rPr>
          <w:rFonts w:ascii="Times New Roman" w:cs="Times New Roman" w:eastAsia="Times New Roman" w:hAnsi="Times New Roman"/>
          <w:sz w:val="22"/>
          <w:szCs w:val="22"/>
        </w:rPr>
        <w:t xml:space="preserve">THEN production residual = −13.26 × tm_fl_y0_b10 − 40.72 × tm_fl_y0_a10 + 17.16 × tm_sm_y0_a20 − 24.87 × tm_hv_y1_b20 − 2063.79 × iaf_bb_y1_c10 − 8.12 × swa_fl_y1_a30 + 2419.77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(conditional): IF Mean temp pre-Harvest &gt; 16.76°C</w:t>
      </w:r>
    </w:p>
    <w:p>
      <w:pPr>
        <w:spacing w:after="100" w:before="100" w:line="320"/>
        <w:jc w:val="both"/>
      </w:pPr>
      <w:r>
        <w:rPr>
          <w:rFonts w:ascii="Times New Roman" w:cs="Times New Roman" w:eastAsia="Times New Roman" w:hAnsi="Times New Roman"/>
          <w:sz w:val="22"/>
          <w:szCs w:val="22"/>
        </w:rPr>
        <w:t xml:space="preserve">THEN production residual = 24.11 × tm_fl_y1_c15 − 24.09 × tm_fl_y0_b10 + 46.70 × tm_sm_y0_a20 − 49.55 × tm_hv_y1_b20 + 5.10 × rf_hv_y0_a10 − 1.74 × swa_hv_y1_b20 + 227.87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3 (default): all other years</w:t>
      </w:r>
    </w:p>
    <w:p>
      <w:pPr>
        <w:spacing w:after="100" w:before="100" w:line="320"/>
        <w:jc w:val="both"/>
      </w:pPr>
      <w:r>
        <w:rPr>
          <w:rFonts w:ascii="Times New Roman" w:cs="Times New Roman" w:eastAsia="Times New Roman" w:hAnsi="Times New Roman"/>
          <w:sz w:val="22"/>
          <w:szCs w:val="22"/>
        </w:rPr>
        <w:t xml:space="preserve">THEN production residual = −151.60 × tm_fl_y0_b10 + 3455.29</w:t>
      </w:r>
    </w:p>
    <w:p>
      <w:pPr>
        <w:spacing w:after="60" w:before="60"/>
      </w:pPr>
      <w:r>
        <w:t xml:space="preserve"/>
      </w:r>
    </w:p>
    <w:p>
      <w:pPr>
        <w:spacing w:after="160" w:before="60"/>
        <w:jc w:val="center"/>
      </w:pPr>
      <w:r>
        <w:rPr>
          <w:rFonts w:ascii="Times New Roman" w:cs="Times New Roman" w:eastAsia="Times New Roman" w:hAnsi="Times New Roman"/>
          <w:i/>
          <w:iCs/>
          <w:sz w:val="20"/>
          <w:szCs w:val="20"/>
        </w:rPr>
        <w:t xml:space="preserve">Table A.4. M5Rules piecewise linear models for both regions. Features use the notation of Section 3.2. Coefficients are unstandardised; intercept is the constant term.</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Appendix B: Exploratory Data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appendix presents the exploratory data analysis of the two regional datasets. The analyses were conducted prior to model development and informed several key methodological decisions: the choice of linear detrending, the inclusion of previous-year (y0) features, the identification of likely era-confounded variables, and the feature selection strategy for CarenR. All statistics are computed from the final curated datasets (dataPrep_cont_dataset_rdd.csv and dataPrep_cont_dataset_rvv.csv) unless otherwise noted.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B.1 Wine Production: Descriptive Statistics and Trends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B.1 presents the key descriptive statistics for wine production in both regions over the full study period.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
1934–2022</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
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production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1,116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307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751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Coefficient of variation (CV)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46.4%</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518 mhl (1952)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494 mhl (1997)</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1,961 mhl (1990)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3,443 mhl (1962)</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trend slope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 mhl/year (increasing)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 mhl/year (declining)</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change over 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+~660 mhl (~+80%)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−~1,500 mhl (~−65%)</w:t>
            </w:r>
          </w:p>
        </w:tc>
      </w:tr>
    </w:tbl>
    <w:p>
      <w:pPr>
        <w:spacing w:after="200" w:before="80"/>
        <w:jc w:val="center"/>
      </w:pPr>
      <w:r>
        <w:rPr>
          <w:rFonts w:ascii="Times New Roman" w:cs="Times New Roman" w:eastAsia="Times New Roman" w:hAnsi="Times New Roman"/>
          <w:i/>
          <w:iCs/>
          <w:sz w:val="20"/>
          <w:szCs w:val="20"/>
        </w:rPr>
        <w:t xml:space="preserve">Table B.1. Descriptive statistics for annual wine production in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contrast between the two regions is immediately apparent. Vinho Verde has a substantially higher mean production (1,621 vs 1,116 mhl) and nearly three times the standard deviation (751 vs 307 mhl), yielding a CV of 46.4% vs 27.6%. This higher variability in RVV is partly structural, the larger absolute production values amplify variation, but also reflects the stronger era-driven structural changes in the RVV series. The coefficient of variation is a key number for understanding the prediction task: with CV = 27.6% for RDD and 46.4% for RVV, any model must reduce the residual error substantially below the naive prediction to be useful, which is a high bar with a climate signal explaining only ~22% of variance.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B.1.1 Decade-Level Production Averages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B.2 presents decade-level mean production for both regions, revealing the structural trajectory of each series.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1800"/>
        <w:gridCol w:w="1100"/>
      </w:tblGrid>
      <w:tr>
        <w:trPr>
          <w:tblHeader/>
        </w:trPr>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Decade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2,331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1,090</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1980s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1,148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1,259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bl>
    <w:p>
      <w:pPr>
        <w:spacing w:after="200" w:before="80"/>
        <w:jc w:val="center"/>
      </w:pPr>
      <w:r>
        <w:rPr>
          <w:rFonts w:ascii="Times New Roman" w:cs="Times New Roman" w:eastAsia="Times New Roman" w:hAnsi="Times New Roman"/>
          <w:i/>
          <w:iCs/>
          <w:sz w:val="20"/>
          <w:szCs w:val="20"/>
        </w:rPr>
        <w:t xml:space="preserve">Table B.2. Decade-level mean wine production. RDD shows gradual increase; RVV shows sharp decline from the 1980s onward.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decade table makes the structural stories of both regions clearly visible. RDD production roughly doubled between the 1930s–40s (765–767 mhl) and the 2000s–2010s (1,300–1,400 mhl), with the most rapid growth occurring in the 1950s–60s and again in the 1990s–2000s. The slowdown in the 2010s is consistent with the maturation of the Douro DOC expansion and the administrative constraints of the Port benefício quota system. For RVV, the peak decade was the 1960s (2,331 mhl), with a sharp decline beginning in the 1980s (1,638 mhl) continuing steeply into the 2000s (906 mhl), exactly coinciding with Portugal's EU accession (1986) and the structural reforms that followed. By the 2010s, RVV production had fallen to approximately one-third of its 1960s peak.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These structural trajectories directly explain the era confound described throughout the thesis. In both regions, the linear trend does not fully capture the non-linear shape of the production history, particularly the RVV plateau in the 1970s (2,229 mhl, barely below the 1960s peak) followed by a sharp break in the 1980s. This structural break is the primary reason LOESS detrending performs better than linear detrending for RVV (Section 5.5): the flexible LOESS curve can fit the plateau-then-collapse shape, while the linear trend averages over it, leaving systematic residuals in the 1970s.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B.2 Phenological Timing: Trends and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used as anchors for feature engineering are themselves variable across years and show systematic advancement over the study period, consistent with the warming trends documented in the broader viticulture literature. Table B.3 summarises the mean, variability, and long-term trend for each key phenological stage.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600"/>
        <w:gridCol w:w="900"/>
        <w:gridCol w:w="14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trend
(days/decade)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trend
(days/decade)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 Break (BB)</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88 / 27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90 / 30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(Fl)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135 / 14 May</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154 / 2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Start Maturity (sM)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179 / 27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227 / 14 Aug</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Harvest (Hv)</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257 / 13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270 / 26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r>
    </w:tbl>
    <w:p>
      <w:pPr>
        <w:spacing w:after="200" w:before="80"/>
        <w:jc w:val="center"/>
      </w:pPr>
      <w:r>
        <w:rPr>
          <w:rFonts w:ascii="Times New Roman" w:cs="Times New Roman" w:eastAsia="Times New Roman" w:hAnsi="Times New Roman"/>
          <w:i/>
          <w:iCs/>
          <w:sz w:val="20"/>
          <w:szCs w:val="20"/>
        </w:rPr>
        <w:t xml:space="preserve">Table B.3. Phenological timing statistics. Negative trend = earlier occurrence over time. All trends in days per decade.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Several findings stand out. First, harvest timing is advancing most rapidly in both regions, by approximately 1.9 days per decade in RDD and 2.6 days per decade in RVV. Over the 80–90 year study period this represents an advancement of roughly 15–23 days, consistent with the warming of 1.3°C in growing-season temperature projected and partly already observed in Portuguese wine regions (Cunha and Richter, 2016). Earlier harvest is a well-documented consequence of warming: grapes accumulate heat units faster, reaching physiological maturity sooner. Second, the trend is stronger in RVV than in RDD for every stage, which is consistent with the Atlantic climate's stronger sensitivity to warming, in a wetter regime, higher temperatures have a disproportionate effect on evapotranspiration and vine water status, accelerating phenological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variability (SD) in phenological dates is larger in RVV than RDD for all stages, particularly for start of maturity (13.6 vs 8.6 days) and harvest (17.0 vs 13.3 days). This higher phenological variability in RVV is consistent with the region's more variable Atlantic weather: ocean-driven temperature swings create larger year-to-year variation in the timing of heat accumulation. This greater phenological variability also means that fixed-calendar aggregation windows would be a poor substitute for the phenological-anchor approach used in this thesis: a fixed "September temperature" window would capture completely different vine developmental states in an early harvest year vs a late harvest year.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B.2.1 Growing Season Duration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B.4 shows the mean duration of each inter-stage phase for both regions.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33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Budburst → 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64.3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RVV flowering 17d later than RDD on average, cooler Atlantic spring</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 Veraison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44.8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6.9d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RVV takes 28d longer to reach veraison, slower ripening in Atlantic climate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Veraison →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78.1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7.7d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RDD takes longer from veraison to harvest, slower final ripening phase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season (BB→Hv)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169.9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growing season ~10 days longer overall</w:t>
            </w:r>
          </w:p>
        </w:tc>
      </w:tr>
    </w:tbl>
    <w:p>
      <w:pPr>
        <w:spacing w:after="200" w:before="80"/>
        <w:jc w:val="center"/>
      </w:pPr>
      <w:r>
        <w:rPr>
          <w:rFonts w:ascii="Times New Roman" w:cs="Times New Roman" w:eastAsia="Times New Roman" w:hAnsi="Times New Roman"/>
          <w:i/>
          <w:iCs/>
          <w:sz w:val="20"/>
          <w:szCs w:val="20"/>
        </w:rPr>
        <w:t xml:space="preserve">Table B.4. Mean growing season phase durations for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phase durations reveal important differences in growing season structure. The flowering-to-veraison phase is 28 days longer in RVV (73 vs 45 days), the Atlantic climate's slower heat accumulation extends this key berry development phase. Conversely, the veraison-to-harvest phase is substantially longer in RDD (78 vs 43 days), reflecting that Douro grapes undergo a longer slow-ripening phase under the drier semi-arid conditions before reaching harvest maturity. These structural differences mean that features from the same phenological window cover different absolute calendar periods in the two regions, and directly motivate the use of separate feature construction and model fitting for each region rather than a pooled approach.</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B.3 Feature Correlations with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B.5 shows the ten features most strongly correlated with wine production residuals (detrended) in each region. This analysis was part of the exploratory phase that informed the feature selection strategies evaluated in CarenR.</w:t>
      </w:r>
    </w:p>
    <w:p>
      <w:pPr>
        <w:spacing w:after="8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2200"/>
        <w:gridCol w:w="700"/>
        <w:gridCol w:w="7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iaf_fl_y0_b20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0.276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0.325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iaf_fl_y0_b30
(prev-yr fl LAI, wide)</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
(wet days post-fl)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rf_fl_y1_a10
(post-fl rainfall)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tm.days.less.15_fl_y1_b15
(cold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days.rf.above.1mm_fl_y1_c15
(wet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iaf_fl_y0_b10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B.5. Top 10 features by absolute Pearson correlation with wine production residuals (detrended). Direction: + = positive correlation with production, − = negative.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Several observations from this correlation table are noteworthy. First, swa_hv_y1_b20 (harvest soil water) appears in the top 10 for both regions, but with opposite signs, negative (r = −0.223) for RDD and positive (r = +0.245) for RVV. This is the same directional inversion identified in the CarenR rules (Section 4.1.3), now confirmed at the simple correlation level. Second, the top RDD correlate is harvest temperature (r = +0.386), which does not prominently appear in the top CarenR rules because CarenR uses discretised variables and the KS test detects distributional shift rather than linear correlation. The harvest temperature signal is captured by M5Rules (positive coefficients) and RIPPER (harvest temperature in Rules 1–2) instead. Third, the top RVV correlate is LAI at harvest (r = −0.404), consistent with its dominance in the CarenR RVV rule set. The negative sign confirms that higher LAI reduces production, the canopy vigour mechanism discussed throughout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B.4 Feature Drift: The Era Confound Quantified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CarenR rules is which features are genuinely informative about inter-annual climate variation and which are primarily capturing the long-term structural trend (era membership). Features strongly correlated with calendar year are suspected era-confounders: they co-vary with the production trend for structural reasons rather than because they drive production through a climate mechanism. Table B.6 shows the features most strongly correlated with year for both regions.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200"/>
        <w:gridCol w:w="2200"/>
        <w:gridCol w:w="1100"/>
        <w:gridCol w:w="12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 trend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 trend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tm_sm_y0_b20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
(harvest rain days)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bl>
    <w:p>
      <w:pPr>
        <w:spacing w:after="200" w:before="80"/>
        <w:jc w:val="center"/>
      </w:pPr>
      <w:r>
        <w:rPr>
          <w:rFonts w:ascii="Times New Roman" w:cs="Times New Roman" w:eastAsia="Times New Roman" w:hAnsi="Times New Roman"/>
          <w:i/>
          <w:iCs/>
          <w:sz w:val="20"/>
          <w:szCs w:val="20"/>
        </w:rPr>
        <w:t>Table B.6. Top features correlated with calendar year, potential era confounders. Features marked HIGH co-trend strongly with the production structural 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harvest temperature variable (tm_hv_y1_c10) is the most era-confounded feature in the dataset: it correlates with production at r = +0.386 (RDD) but also correlates with year at r = +0.412. This near-equal correlation with both production and time is a warning sign: the feature may appear predictive of production largely because both are trending upward over the study period (warming climate + increasing Douro production), rather than because harvest temperature genuinely drives production inter-annually. The LOESS validation (Section 4.2) addresses this precisely: after removing the era trend, the top features'  correlations drop from ~0.51 to ~0.47, confirming that the era confound inflates but does not manufacture the relationship. For harvest temperature specifically, the LOESS-corrected correlation would likely drop more, which is consistent with CarenR's top rules focusing on soil water and rainfall rather than temperature, these latter variables have lower year-correlations (swa_hv_y1_b20: year r = −0.183 for RDD) and represent cleaner within-era signals.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RVV LAI at harvest (iaf_hv_y1_c10) shows a more interesting pattern: it correlates with production at r = −0.404 but also with year at r = +0.359. This suggests that LAI has been increasing over the study period, consistent with the general intensification of vineyard management and the shift to espalier systems, and this increasing LAI co-trends with declining production, inflating its apparent correlation. However, the LOESS validation confirms that even after era-trend removal, LAI remains one of the strongest within-era predictors in RVV, confirming its genuine within-era signal. The era confound inflates its correlation but does not invent the relationship.</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Appendix C: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Thermal conditions during the critical flowering window,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thermal conditions,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temperature,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early spring thermal conditions,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post-budburst window in previous year,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veraison onset,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post-veraison heat,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pre-veraison temperature,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harvest,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temperature,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temperature,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temperature,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post-harvest night temperatures,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Number of cold days during flowering,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cold days,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Frost days at budburst,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Post-budburst frost risk window,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Late frost at flowering,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Extreme heat at flowering,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post-flowering heat exposure,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Heat stress approaching veraison,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heat stress,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Rainfall immediately post-flowering,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rainfall,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rainfall in previous year,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Frequency of rain days at flowering,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rain event count,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approaching veraison,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rain days,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at harvest,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 events in previous year,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LAI at budburst,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canopy development,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Broader pre-flowering LAI window,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Early pre-flowering canopy,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canopy,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LAI at harvest,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LAI,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Widest previous-year pre-flowering LAI window: M5Rules LAI differential uses b10/b20/b30 together</w:t>
            </w:r>
          </w:p>
        </w:tc>
      </w:tr>
    </w:tbl>
    <w:p>
      <w:pPr>
        <w:spacing w:after="200" w:before="80"/>
        <w:jc w:val="center"/>
      </w:pPr>
      <w:r>
        <w:rPr>
          <w:rFonts w:ascii="Times New Roman" w:cs="Times New Roman" w:eastAsia="Times New Roman" w:hAnsi="Times New Roman"/>
          <w:i/>
          <w:iCs/>
          <w:sz w:val="20"/>
          <w:szCs w:val="20"/>
        </w:rPr>
        <w:t xml:space="preserve">Table C.5. Leaf Area Index features. iaf_hv_y1_c10 is the dominant RVV feature (20/20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LAI in previous year,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Soil water balance post-flowering,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post-flowering soil water window,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soil water: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soil water in previous year,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post-harvest soil water in previous year,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post-flowering,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at veraison onset,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stress at maturity,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severe stress,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severe stress,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stress,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Near-saturation days post-flowering,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soil saturation,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window for previous-year post-flowering soil saturation, strongest RVV carry-over signal</w:t>
            </w:r>
          </w:p>
        </w:tc>
      </w:tr>
    </w:tbl>
    <w:p>
      <w:pPr>
        <w:spacing w:after="200" w:before="80"/>
        <w:jc w:val="center"/>
      </w:pPr>
      <w:r>
        <w:rPr>
          <w:rFonts w:ascii="Times New Roman" w:cs="Times New Roman" w:eastAsia="Times New Roman" w:hAnsi="Times New Roman"/>
          <w:i/>
          <w:iCs/>
          <w:sz w:val="20"/>
          <w:szCs w:val="20"/>
        </w:rPr>
        <w:t xml:space="preserve">Table C.6. Soil water availability, stress day (Sm &lt; 1.5×Wp), and saturation day (Sm &gt; 0.9×Fc) features. swa_hv_y1_b20 is the dominant feature in both regions.</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Appendix D: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map makes several structural properties of the feature set immediately visible. Flowering is the most densely populated stage,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0"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