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3"/>
        <w:spacing w:after="120" w:before="240"/>
      </w:pPr>
      <w:r>
        <w:rPr>
          <w:rFonts w:ascii="Times New Roman" w:cs="Times New Roman" w:eastAsia="Times New Roman" w:hAnsi="Times New Roman"/>
          <w:i/>
          <w:iCs/>
          <w:sz w:val="24"/>
          <w:szCs w:val="24"/>
        </w:rPr>
        <w:t>3.4.1.7  Prediction Aggregation: Combining Multiple Firing Rules</w:t>
      </w:r>
    </w:p>
    <w:p>
      <w:pPr>
        <w:spacing w:after="60" w:before="60"/>
      </w:pPr>
      <w:r>
        <w:t xml:space="preserve"/>
      </w:r>
    </w:p>
    <w:p>
      <w:pPr>
        <w:spacing w:after="120" w:before="120" w:line="360"/>
        <w:jc w:val="both"/>
      </w:pPr>
      <w:r>
        <w:rPr>
          <w:rFonts w:ascii="Times New Roman" w:cs="Times New Roman" w:eastAsia="Times New Roman" w:hAnsi="Times New Roman"/>
          <w:sz w:val="24"/>
          <w:szCs w:val="24"/>
        </w:rPr>
        <w:t>When multiple rules fire for a given test observation, their individual predictions must be aggregated into a single point estimate. Most CarenR variants use support-weighted aggregation; a small number use confidence weighting or equal weighting as alternatives. The primary source of divergence across the 11 variants is the feature selection strategy, not the aggregation mechanism. The general prediction formula for a test observation x is:</w:t>
      </w:r>
    </w:p>
    <w:p>
      <w:pPr>
        <w:spacing w:after="60" w:before="60"/>
      </w:pPr>
      <w:r>
        <w:t xml:space="preserve"/>
      </w:r>
    </w:p>
    <w:p>
      <w:pPr>
        <w:spacing w:after="120" w:before="120"/>
      </w:pPr>
      <m:oMathPara>
        <m:oMathParaPr>
          <m:jc m:val="center"/>
        </m:oMathParaPr>
        <m:oMath>
          <m:r>
            <m:t xml:space="preserve">ŷ(x) = </m:t>
          </m:r>
          <m:f>
            <m:num>
              <m:nary>
                <m:naryPr>
                  <m:chr m:val="∑"/>
                  <m:limLoc m:val="subSup"/>
                  <m:supHide m:val="1"/>
                </m:naryPr>
                <m:sub>
                  <m:r>
                    <m:t>i</m:t>
                  </m:r>
                </m:sub>
                <m:sup/>
                <m:e>
                  <m:sSub>
                    <m:e>
                      <m:r>
                        <m:t>w</m:t>
                      </m:r>
                    </m:e>
                    <m:sub>
                      <m:r>
                        <m:t>i</m:t>
                      </m:r>
                    </m:sub>
                  </m:sSub>
                  <m:r>
                    <m:t xml:space="preserve">(x) ⋅ </m:t>
                  </m:r>
                  <m:sSub>
                    <m:e>
                      <m:r>
                        <m:t>m̃</m:t>
                      </m:r>
                    </m:e>
                    <m:sub>
                      <m:r>
                        <m:t>i</m:t>
                      </m:r>
                    </m:sub>
                  </m:sSub>
                </m:e>
              </m:nary>
            </m:num>
            <m:den>
              <m:nary>
                <m:naryPr>
                  <m:chr m:val="∑"/>
                  <m:limLoc m:val="subSup"/>
                  <m:supHide m:val="1"/>
                </m:naryPr>
                <m:sub>
                  <m:r>
                    <m:t>i</m:t>
                  </m:r>
                </m:sub>
                <m:sup/>
                <m:e>
                  <m:sSub>
                    <m:e>
                      <m:r>
                        <m:t>w</m:t>
                      </m:r>
                    </m:e>
                    <m:sub>
                      <m:r>
                        <m:t>i</m:t>
                      </m:r>
                    </m:sub>
                  </m:sSub>
                  <m:r>
                    <m:t>(x)</m:t>
                  </m:r>
                </m:e>
              </m:nary>
            </m:den>
          </m:f>
        </m:oMath>
      </m:oMathPara>
    </w:p>
    <w:p>
      <w:pPr>
        <w:spacing w:after="60" w:before="60"/>
      </w:pPr>
      <w:r>
        <w:t xml:space="preserve"/>
      </w:r>
    </w:p>
    <w:p>
      <w:pPr>
        <w:spacing w:after="120" w:before="120" w:line="360"/>
        <w:jc w:val="both"/>
      </w:pPr>
      <w:r>
        <w:rPr>
          <w:rFonts w:ascii="Times New Roman" w:cs="Times New Roman" w:eastAsia="Times New Roman" w:hAnsi="Times New Roman"/>
          <w:sz w:val="24"/>
          <w:szCs w:val="24"/>
        </w:rPr>
        <w:t>where the sum is over all rules i that fire for observation x (i.e. all conditions of rule i are satisfied by x), m̃ᵢ is the median residual of the training observations covered by rule i, and wᵢ(x) is the weight assigned to rule i for observation x. The weight definition distinguishes the variants:</w:t>
      </w:r>
    </w:p>
    <w:p>
      <w:pPr>
        <w:spacing w:after="120" w:before="120" w:line="360"/>
        <w:jc w:val="both"/>
      </w:pPr>
      <w:r>
        <w:rPr>
          <w:rFonts w:ascii="Times New Roman" w:cs="Times New Roman" w:eastAsia="Times New Roman" w:hAnsi="Times New Roman"/>
          <w:sz w:val="24"/>
          <w:szCs w:val="24"/>
        </w:rPr>
        <w:t xml:space="preserve">Note on notation: m̃ᵢ denotes the median residual of the training observations in the subgroup defined by rule i. The tilde notation (˜) is used throughout to distinguish the median from the mean (μ), following the convention that μ denotes a population mean and m̃ denotes a sample median.</w:t>
      </w:r>
    </w:p>
    <w:p>
      <w:pPr>
        <w:spacing w:after="60" w:before="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1800"/>
        <w:gridCol w:w="4000"/>
      </w:tblGrid>
      <w:tr>
        <w:trPr>
          <w:tblHeader/>
        </w:trPr>
        <w:tc>
          <w:tcPr>
            <w:tcW w:type="dxa" w:w="18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Variant family</w:t>
            </w:r>
          </w:p>
        </w:tc>
        <w:tc>
          <w:tcPr>
            <w:tcW w:type="dxa" w:w="16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Weight wᵢ(x)</w:t>
            </w:r>
          </w:p>
        </w:tc>
        <w:tc>
          <w:tcPr>
            <w:tcW w:type="dxa" w:w="18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Formula</w:t>
            </w:r>
          </w:p>
        </w:tc>
        <w:tc>
          <w:tcPr>
            <w:tcW w:type="dxa" w:w="40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Rationale</w:t>
            </w:r>
          </w:p>
        </w:tc>
      </w:tr>
      <w:tr>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Base (Dist, FS, Eta2,
Sup_FS, Thresh, Lag)</w:t>
            </w:r>
          </w:p>
        </w:tc>
        <w:tc>
          <w:tcPr>
            <w:tcW w:type="dxa" w:w="1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Support of rule i</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wᵢ = sᵢ
(fraction of training obs. covered)</w:t>
            </w:r>
          </w:p>
        </w:tc>
        <w:tc>
          <w:tcPr>
            <w:tcW w:type="dxa" w:w="4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Rules with higher coverage are weighted more, they represent more stable, generalisable patterns. A rule covering 28% of years gets ~2× the weight of one covering 15%.</w:t>
            </w:r>
          </w:p>
        </w:tc>
      </w:tr>
      <w:tr>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Confidence-weighted
(CarenR_Dist_Conf)</w:t>
            </w:r>
          </w:p>
        </w:tc>
        <w:tc>
          <w:tcPr>
            <w:tcW w:type="dxa" w:w="1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Confidence of rule i</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wᵢ = 1 − pᵢ
(where pᵢ is the KS p-value)</w:t>
            </w:r>
          </w:p>
        </w:tc>
        <w:tc>
          <w:tcPr>
            <w:tcW w:type="dxa" w:w="4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Rules with stronger statistical significance (lower p-value, higher 1−p) are weighted more. A rule with p=0.004 gets weight 0.996; a rule with p=0.09 gets weight 0.91. Prioritises statistical robustness over coverage.</w:t>
            </w:r>
          </w:p>
        </w:tc>
      </w:tr>
      <w:tr>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Stacking
(CarenR_Dist_Stack)</w:t>
            </w:r>
          </w:p>
        </w:tc>
        <w:tc>
          <w:tcPr>
            <w:tcW w:type="dxa" w:w="1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Second-stage model weight</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wᵢ from a second-stage
linear model fitted on
rule predictions</w:t>
            </w:r>
          </w:p>
        </w:tc>
        <w:tc>
          <w:tcPr>
            <w:tcW w:type="dxa" w:w="4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The residuals from the first-stage CarenR predictions are used as input to a second-stage model. Equivalent to learning an optimal linear combination of rule predictions on the training set.</w:t>
            </w:r>
          </w:p>
        </w:tc>
      </w:tr>
    </w:tbl>
    <w:p>
      <w:pPr>
        <w:spacing w:after="200" w:before="80"/>
        <w:jc w:val="center"/>
      </w:pPr>
      <w:r>
        <w:rPr>
          <w:rFonts w:ascii="Times New Roman" w:cs="Times New Roman" w:eastAsia="Times New Roman" w:hAnsi="Times New Roman"/>
          <w:i/>
          <w:iCs/>
          <w:sz w:val="20"/>
          <w:szCs w:val="20"/>
        </w:rPr>
        <w:t xml:space="preserve">Table 3.4. Prediction aggregation formulas for the three CarenR variant families.</w:t>
      </w:r>
    </w:p>
    <w:p>
      <w:pPr>
        <w:spacing w:after="60" w:before="60"/>
      </w:pPr>
      <w:r>
        <w:t xml:space="preserve"/>
      </w:r>
    </w:p>
    <w:p>
      <w:pPr>
        <w:spacing w:after="120" w:before="120" w:line="360"/>
        <w:jc w:val="both"/>
      </w:pPr>
      <w:r>
        <w:rPr>
          <w:rFonts w:ascii="Times New Roman" w:cs="Times New Roman" w:eastAsia="Times New Roman" w:hAnsi="Times New Roman"/>
          <w:sz w:val="24"/>
          <w:szCs w:val="24"/>
        </w:rPr>
        <w:t xml:space="preserve">For the default support-weighted case (used by the majority of variants), the full prediction formula for test year t is:</w:t>
      </w:r>
    </w:p>
    <w:p>
      <w:pPr>
        <w:spacing w:after="60" w:before="60"/>
      </w:pPr>
      <w:r>
        <w:t xml:space="preserve"/>
      </w:r>
    </w:p>
    <w:p>
      <w:pPr>
        <w:spacing w:after="120" w:before="120"/>
      </w:pPr>
      <m:oMathPara>
        <m:oMathParaPr>
          <m:jc m:val="center"/>
        </m:oMathParaPr>
        <m:oMath>
          <m:r>
            <m:t xml:space="preserve">ŷ(t) = </m:t>
          </m:r>
          <m:d>
            <m:dPr>
              <m:begChr m:val="{"/>
              <m:endChr m:val=""/>
              <m:sepChr m:val=""/>
            </m:dPr>
            <m:e>
              <m:eqArr>
                <m:e>
                  <m:f>
                    <m:num>
                      <m:nary>
                        <m:naryPr>
                          <m:chr m:val="∑"/>
                          <m:limLoc m:val="subSup"/>
                          <m:supHide m:val="1"/>
                        </m:naryPr>
                        <m:sub>
                          <m:r>
                            <m:t>i∈F(t)</m:t>
                          </m:r>
                        </m:sub>
                        <m:sup/>
                        <m:e>
                          <m:sSub>
                            <m:e>
                              <m:r>
                                <m:t>s</m:t>
                              </m:r>
                            </m:e>
                            <m:sub>
                              <m:r>
                                <m:t>i</m:t>
                              </m:r>
                            </m:sub>
                          </m:sSub>
                          <m:r>
                            <m:t xml:space="preserve"> ⋅ </m:t>
                          </m:r>
                          <m:sSub>
                            <m:e>
                              <m:r>
                                <m:t>m̃</m:t>
                              </m:r>
                            </m:e>
                            <m:sub>
                              <m:r>
                                <m:t>i</m:t>
                              </m:r>
                            </m:sub>
                          </m:sSub>
                        </m:e>
                      </m:nary>
                    </m:num>
                    <m:den>
                      <m:nary>
                        <m:naryPr>
                          <m:chr m:val="∑"/>
                          <m:limLoc m:val="subSup"/>
                          <m:supHide m:val="1"/>
                        </m:naryPr>
                        <m:sub>
                          <m:r>
                            <m:t>i∈F(t)</m:t>
                          </m:r>
                        </m:sub>
                        <m:sup/>
                        <m:e>
                          <m:sSub>
                            <m:e>
                              <m:r>
                                <m:t>s</m:t>
                              </m:r>
                            </m:e>
                            <m:sub>
                              <m:r>
                                <m:t>i</m:t>
                              </m:r>
                            </m:sub>
                          </m:sSub>
                        </m:e>
                      </m:nary>
                    </m:den>
                  </m:f>
                  <m:r>
                    <m:t xml:space="preserve">  if  F(t) ≠ ∅</m:t>
                  </m:r>
                </m:e>
                <m:e>
                  <m:r>
                    <m:rPr>
                      <m:sty m:val="p"/>
                    </m:rPr>
                    <m:t>median</m:t>
                  </m:r>
                  <m:d>
                    <m:dPr>
                      <m:begChr m:val="("/>
                      <m:endChr m:val=")"/>
                    </m:dPr>
                    <m:e>
                      <m:sSub>
                        <m:e>
                          <m:r>
                            <m:t>r</m:t>
                          </m:r>
                        </m:e>
                        <m:sub>
                          <m:r>
                            <m:t>1</m:t>
                          </m:r>
                        </m:sub>
                      </m:sSub>
                      <m:r>
                        <m:t xml:space="preserve">, </m:t>
                      </m:r>
                      <m:sSub>
                        <m:e>
                          <m:r>
                            <m:t>r</m:t>
                          </m:r>
                        </m:e>
                        <m:sub>
                          <m:r>
                            <m:t>2</m:t>
                          </m:r>
                        </m:sub>
                      </m:sSub>
                      <m:r>
                        <m:t xml:space="preserve">, …, </m:t>
                      </m:r>
                      <m:sSub>
                        <m:e>
                          <m:r>
                            <m:t>r</m:t>
                          </m:r>
                        </m:e>
                        <m:sub>
                          <m:r>
                            <m:t>n</m:t>
                          </m:r>
                        </m:sub>
                      </m:sSub>
                    </m:e>
                  </m:d>
                  <m:r>
                    <m:t xml:space="preserve">  if  F(t) = ∅</m:t>
                  </m:r>
                </m:e>
              </m:eqArr>
            </m:e>
          </m:d>
        </m:oMath>
      </m:oMathPara>
    </w:p>
    <w:p>
      <w:pPr>
        <w:spacing w:after="60" w:before="60"/>
      </w:pPr>
      <w:r>
        <w:t xml:space="preserve"/>
      </w:r>
    </w:p>
    <w:p>
      <w:pPr>
        <w:spacing w:after="120" w:before="120" w:line="360"/>
        <w:jc w:val="both"/>
      </w:pPr>
      <w:r>
        <w:rPr>
          <w:rFonts w:ascii="Times New Roman" w:cs="Times New Roman" w:eastAsia="Times New Roman" w:hAnsi="Times New Roman"/>
          <w:sz w:val="24"/>
          <w:szCs w:val="24"/>
        </w:rPr>
        <w:t>where F(t) = {i : all conditions of rule i are satisfied by features of year t} is the set of firing rules, sᵢ ∈ [0.15, 1.0] is the support fraction of rule i, m̃ᵢ is the median detrended production residual among training observations covered by rule i, and median(r₁, …, rₙ) is the training-set median residual (the Naive_Median prediction, used as fallback when no rules fire).</w:t>
      </w:r>
    </w:p>
    <w:p>
      <w:pPr>
        <w:spacing w:after="60" w:before="60"/>
      </w:pPr>
      <w:r>
        <w:t xml:space="preserve"/>
      </w:r>
    </w:p>
    <w:p>
      <w:pPr>
        <w:spacing w:after="120" w:before="120" w:line="360"/>
        <w:jc w:val="both"/>
      </w:pPr>
      <w:r>
        <w:rPr>
          <w:rFonts w:ascii="Times New Roman" w:cs="Times New Roman" w:eastAsia="Times New Roman" w:hAnsi="Times New Roman"/>
          <w:sz w:val="24"/>
          <w:szCs w:val="24"/>
        </w:rPr>
        <w:t xml:space="preserve">A worked example illustrates the formula. Suppose test year 2015 has the following feature values: wet days post-flowering = 1.2 days, soil water pre-harvest = 89 mm, heat days post-flowering = 0.4 days. Three rules fire:</w:t>
      </w:r>
    </w:p>
    <w:p>
      <w:pPr>
        <w:spacing w:after="60" w:before="60"/>
      </w:pPr>
      <w:r>
        <w:t xml:space="preserve"/>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700"/>
        <w:gridCol w:w="2800"/>
        <w:gridCol w:w="1300"/>
        <w:gridCol w:w="900"/>
        <w:gridCol w:w="1500"/>
      </w:tblGrid>
      <w:tr>
        <w:trPr>
          <w:tblHeader/>
        </w:trPr>
        <w:tc>
          <w:tcPr>
            <w:tcW w:type="dxa" w:w="7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Rule</w:t>
            </w:r>
          </w:p>
        </w:tc>
        <w:tc>
          <w:tcPr>
            <w:tcW w:type="dxa" w:w="28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Conditions matched</w:t>
            </w:r>
          </w:p>
        </w:tc>
        <w:tc>
          <w:tcPr>
            <w:tcW w:type="dxa" w:w="13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Subgroup median m̃ᵢ</w:t>
            </w:r>
          </w:p>
        </w:tc>
        <w:tc>
          <w:tcPr>
            <w:tcW w:type="dxa" w:w="9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Support sᵢ</w:t>
            </w:r>
          </w:p>
        </w:tc>
        <w:tc>
          <w:tcPr>
            <w:tcW w:type="dxa" w:w="15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Weighted contribution sᵢ·m̃ᵢ</w:t>
            </w:r>
          </w:p>
        </w:tc>
      </w:tr>
      <w:tr>
        <w:tc>
          <w:tcPr>
            <w:tcW w:type="dxa" w:w="7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Rule 1</w:t>
            </w:r>
          </w:p>
        </w:tc>
        <w:tc>
          <w:tcPr>
            <w:tcW w:type="dxa" w:w="2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Wet days post-fl [0–3.3d] ✓
Wet days post-maturity [0–3.5d] ✓</w:t>
            </w:r>
          </w:p>
        </w:tc>
        <w:tc>
          <w:tcPr>
            <w:tcW w:type="dxa" w:w="13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+121 mhl</w:t>
            </w:r>
          </w:p>
        </w:tc>
        <w:tc>
          <w:tcPr>
            <w:tcW w:type="dxa" w:w="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0.281</w:t>
            </w:r>
          </w:p>
        </w:tc>
        <w:tc>
          <w:tcPr>
            <w:tcW w:type="dxa" w:w="1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34.00</w:t>
            </w:r>
          </w:p>
        </w:tc>
      </w:tr>
      <w:tr>
        <w:tc>
          <w:tcPr>
            <w:tcW w:type="dxa" w:w="7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Rule 5</w:t>
            </w:r>
          </w:p>
        </w:tc>
        <w:tc>
          <w:tcPr>
            <w:tcW w:type="dxa" w:w="2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Wet days post-fl [0–3.3d] ✓
Heat days pre-maturity [0–3.7d] ✓</w:t>
            </w:r>
          </w:p>
        </w:tc>
        <w:tc>
          <w:tcPr>
            <w:tcW w:type="dxa" w:w="13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+115 mhl</w:t>
            </w:r>
          </w:p>
        </w:tc>
        <w:tc>
          <w:tcPr>
            <w:tcW w:type="dxa" w:w="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0.247</w:t>
            </w:r>
          </w:p>
        </w:tc>
        <w:tc>
          <w:tcPr>
            <w:tcW w:type="dxa" w:w="1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28.41</w:t>
            </w:r>
          </w:p>
        </w:tc>
      </w:tr>
      <w:tr>
        <w:tc>
          <w:tcPr>
            <w:tcW w:type="dxa" w:w="7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Rule 7</w:t>
            </w:r>
          </w:p>
        </w:tc>
        <w:tc>
          <w:tcPr>
            <w:tcW w:type="dxa" w:w="2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Wet days post-fl [0–3.3d] ✓
Soil water pre-hv [74–231 mm] ✓
Heat days pre-mat [0–3.7d] ✓</w:t>
            </w:r>
          </w:p>
        </w:tc>
        <w:tc>
          <w:tcPr>
            <w:tcW w:type="dxa" w:w="13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+115 mhl</w:t>
            </w:r>
          </w:p>
        </w:tc>
        <w:tc>
          <w:tcPr>
            <w:tcW w:type="dxa" w:w="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0.213</w:t>
            </w:r>
          </w:p>
        </w:tc>
        <w:tc>
          <w:tcPr>
            <w:tcW w:type="dxa" w:w="1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24.50</w:t>
            </w:r>
          </w:p>
        </w:tc>
      </w:tr>
      <w:tr>
        <w:tc>
          <w:tcPr>
            <w:tcW w:type="dxa" w:w="7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Sum</w:t>
            </w:r>
          </w:p>
        </w:tc>
        <w:tc>
          <w:tcPr>
            <w:tcW w:type="dxa" w:w="2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 </w:t>
            </w:r>
          </w:p>
        </w:tc>
        <w:tc>
          <w:tcPr>
            <w:tcW w:type="dxa" w:w="13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 </w:t>
            </w:r>
          </w:p>
        </w:tc>
        <w:tc>
          <w:tcPr>
            <w:tcW w:type="dxa" w:w="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Σsᵢ = 0.741</w:t>
            </w:r>
          </w:p>
        </w:tc>
        <w:tc>
          <w:tcPr>
            <w:tcW w:type="dxa" w:w="1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Σsᵢ·m̃ᵢ = 86.91</w:t>
            </w:r>
          </w:p>
        </w:tc>
      </w:tr>
      <w:tr>
        <w:tc>
          <w:tcPr>
            <w:tcW w:type="dxa" w:w="7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Prediction</w:t>
            </w:r>
          </w:p>
        </w:tc>
        <w:tc>
          <w:tcPr>
            <w:tcW w:type="dxa" w:w="2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 </w:t>
            </w:r>
          </w:p>
        </w:tc>
        <w:tc>
          <w:tcPr>
            <w:tcW w:type="dxa" w:w="13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ŷ = 86.91 / 0.741 = +117.3 mhl</w:t>
            </w:r>
          </w:p>
        </w:tc>
        <w:tc>
          <w:tcPr>
            <w:tcW w:type="dxa" w:w="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 </w:t>
            </w:r>
          </w:p>
        </w:tc>
        <w:tc>
          <w:tcPr>
            <w:tcW w:type="dxa" w:w="1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 </w:t>
            </w:r>
          </w:p>
        </w:tc>
      </w:tr>
    </w:tbl>
    <w:p>
      <w:pPr>
        <w:spacing w:after="200" w:before="80"/>
        <w:jc w:val="center"/>
      </w:pPr>
      <w:r>
        <w:rPr>
          <w:rFonts w:ascii="Times New Roman" w:cs="Times New Roman" w:eastAsia="Times New Roman" w:hAnsi="Times New Roman"/>
          <w:i/>
          <w:iCs/>
          <w:sz w:val="20"/>
          <w:szCs w:val="20"/>
        </w:rPr>
        <w:t>Table 3.5. Worked example of support-weighted prediction for a test year where three rules fire. The prediction (+117.3 mhl above trend) is a support-weighted combination of the three subgroup medians, with weights proportional to their training-set coverage.</w:t>
      </w:r>
    </w:p>
    <w:p>
      <w:pPr>
        <w:spacing w:after="60" w:before="60"/>
      </w:pPr>
      <w:r>
        <w:t xml:space="preserve"/>
      </w:r>
    </w:p>
    <w:p>
      <w:pPr>
        <w:spacing w:after="120" w:before="120" w:line="360"/>
        <w:jc w:val="both"/>
      </w:pPr>
      <w:r>
        <w:rPr>
          <w:rFonts w:ascii="Times New Roman" w:cs="Times New Roman" w:eastAsia="Times New Roman" w:hAnsi="Times New Roman"/>
          <w:sz w:val="24"/>
          <w:szCs w:val="24"/>
        </w:rPr>
        <w:t xml:space="preserve">The predicted residual (+117.3 mhl) is then re-trended by adding the linear trend value projected to 2015 to produce the final production estimate in mhl. This re-trending step ensures the prediction is on the original scale and directly comparable to the actual production value for the MAE computation.</w:t>
      </w:r>
    </w:p>
    <w:p>
      <w:pPr>
        <w:spacing w:after="60" w:before="60"/>
      </w:pPr>
      <w:r>
        <w:t xml:space="preserve"/>
      </w:r>
    </w:p>
    <w:p>
      <w:pPr>
        <w:spacing w:after="120" w:before="120" w:line="360"/>
        <w:jc w:val="both"/>
      </w:pPr>
      <w:r>
        <w:rPr>
          <w:rFonts w:ascii="Times New Roman" w:cs="Times New Roman" w:eastAsia="Times New Roman" w:hAnsi="Times New Roman"/>
          <w:b/>
          <w:bCs/>
          <w:sz w:val="24"/>
          <w:szCs w:val="24"/>
        </w:rPr>
        <w:t xml:space="preserve">Why support weighting rather than equal weighting? </w:t>
      </w:r>
      <w:r>
        <w:rPr>
          <w:rFonts w:ascii="Times New Roman" w:cs="Times New Roman" w:eastAsia="Times New Roman" w:hAnsi="Times New Roman"/>
          <w:sz w:val="24"/>
          <w:szCs w:val="24"/>
        </w:rPr>
        <w:t>Equal weighting would give every firing rule the same influence regardless of how broadly applicable it is. A rule covering 15% of training years (the minimum support threshold) represents a pattern seen in roughly 13 years out of 89; a rule covering 28% of years was observed in approximately 25 years. Giving equal weight to both would over-represent narrow, potentially less stable patterns. Support weighting is a principled way to account for statistical reliability without fully discarding less-common rules; they still contribute, but proportionally to their historical recurrence.</w:t>
      </w:r>
    </w:p>
    <w:p>
      <w:pPr>
        <w:spacing w:after="60" w:before="60"/>
      </w:pPr>
      <w:r>
        <w:t xml:space="preserve"/>
      </w:r>
    </w:p>
    <w:p>
      <w:pPr>
        <w:spacing w:after="120" w:before="120" w:line="360"/>
        <w:jc w:val="both"/>
      </w:pPr>
      <w:r>
        <w:rPr>
          <w:rFonts w:ascii="Times New Roman" w:cs="Times New Roman" w:eastAsia="Times New Roman" w:hAnsi="Times New Roman"/>
          <w:b/>
          <w:bCs/>
          <w:sz w:val="24"/>
          <w:szCs w:val="24"/>
        </w:rPr>
        <w:t xml:space="preserve">The confidence-weighted variant (CarenR_Dist_Conf) </w:t>
      </w:r>
      <w:r>
        <w:rPr>
          <w:rFonts w:ascii="Times New Roman" w:cs="Times New Roman" w:eastAsia="Times New Roman" w:hAnsi="Times New Roman"/>
          <w:sz w:val="24"/>
          <w:szCs w:val="24"/>
        </w:rPr>
        <w:t xml:space="preserve">uses 1 − pᵢ as the weight, giving more influence to rules whose subgroup distribution is most statistically distinct from the global distribution. In theory this should favour the most reliable patterns; in practice it performs comparably to support weighting (RDD rank 6, RVV rank 3 in Table 5.1), suggesting that KS p-value and support are correlated enough that both approaches identify the same rules as most important.</w:t>
      </w:r>
    </w:p>
    <w:p>
      <w:pPr>
        <w:spacing w:after="60" w:before="60"/>
      </w:pPr>
      <w:r>
        <w:t xml:space="preserve"/>
      </w:r>
    </w:p>
    <w:p>
      <w:pPr>
        <w:spacing w:after="120" w:before="120" w:line="360"/>
        <w:jc w:val="both"/>
      </w:pPr>
      <w:r>
        <w:rPr>
          <w:rFonts w:ascii="Times New Roman" w:cs="Times New Roman" w:eastAsia="Times New Roman" w:hAnsi="Times New Roman"/>
          <w:b/>
          <w:bCs/>
          <w:sz w:val="24"/>
          <w:szCs w:val="24"/>
        </w:rPr>
        <w:t xml:space="preserve">When exactly one rule fires, </w:t>
      </w:r>
      <w:r>
        <w:rPr>
          <w:rFonts w:ascii="Times New Roman" w:cs="Times New Roman" w:eastAsia="Times New Roman" w:hAnsi="Times New Roman"/>
          <w:sz w:val="24"/>
          <w:szCs w:val="24"/>
        </w:rPr>
        <w:t>the formula simplifies to ŷ(t) = m̃ᵢ, the prediction is simply the median residual of the matching subgroup, independent of support (which cancels). The support weighting only has an effect when two or more rules fire simultaneously, resolving conflicts by favouring more broadly applicable rules.</w:t>
      </w:r>
    </w:p>
    <w:p>
      <w:pPr>
        <w:spacing w:after="60" w:before="60"/>
      </w:pPr>
      <w:r>
        <w:t xml:space="preserve"/>
      </w:r>
    </w:p>
    <w:sectPr>
      <w:footerReference w:type="default" r:id="rId7"/>
      <w:pgSz w:w="11906" w:h="16838"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3">
    <w:name w:val="Heading 3"/>
    <w:basedOn w:val="Normal"/>
    <w:next w:val="Normal"/>
    <w:qFormat/>
    <w:pPr>
      <w:spacing w:after="120" w:before="240"/>
      <w:outlineLvl w:val="2"/>
    </w:pPr>
    <w:rPr>
      <w:rFonts w:ascii="Times New Roman" w:cs="Times New Roman" w:eastAsia="Times New Roman" w:hAnsi="Times New Roman"/>
      <w:i/>
      <w:iCs/>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2026-06-05T10:45:19.542Z</dcterms:created>
  <dcterms:modified xsi:type="dcterms:W3CDTF">2026-06-05T10:45:19.542Z</dcterms:modified>
</cp:coreProperties>
</file>

<file path=docProps/custom.xml><?xml version="1.0" encoding="utf-8"?>
<Properties xmlns="http://schemas.openxmlformats.org/officeDocument/2006/custom-properties" xmlns:vt="http://schemas.openxmlformats.org/officeDocument/2006/docPropsVTypes"/>
</file>