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3. Data and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chapter describes the full data pipeline, from the meteorological source files provided by Professor Cunha's group to the curated annual feature datasets used for rule discovery and walk-forward prediction, together with the detrending methodology, algorithm descriptions, and evaluation protocol. Section 3.1 tells the complete data story: the sources, transformations, and decisions that shaped the final datasets. This pipeline was developed over an extended period of exploratory data analysis and represents a significant methodological contribution in its own right, as no publicly available equivalent phenology-anchored climate feature dataset existed for these two regions across the full 80–90 year time horizons.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 Data Sources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datasets for both regions originate from two independent source streams that were joined at the annual level.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3.1.1 Meteorological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Daily meteorological records for the Douro region were sourced from the BCM base climate files maintained by the University of Porto's viticulture research group (Professor Mário Cunha). The source files (BCM_base_RDD.xls, BCM_base_RVV.xls) contain one row per calendar day from 1933-01-01 to 2022-12-31 for RDD (32,842 daily records) and from 1941-01-01 to 2022-11-13 for RVV (29,902 daily records). Each daily record contains the following primary meteorological variables: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tblGrid>
      <w:tr>
        <w:trPr>
          <w:tblHeader/>
        </w:trPr>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Unit</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maximum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minimum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mean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total rainfall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availability (model-derived)</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Leaf Area Index (phenological model)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m²/m²</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Eto</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Reference evapotranspiration</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bl>
    <w:p>
      <w:pPr>
        <w:spacing w:after="200" w:before="80"/>
        <w:jc w:val="center"/>
      </w:pPr>
      <w:r>
        <w:rPr>
          <w:rFonts w:ascii="Times New Roman" w:cs="Times New Roman" w:eastAsia="Times New Roman" w:hAnsi="Times New Roman"/>
          <w:i/>
          <w:iCs/>
          <w:sz w:val="20"/>
          <w:szCs w:val="20"/>
        </w:rPr>
        <w:t xml:space="preserve">Table 3.1. Primary daily meteorological variables in the raw source files.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soil water availability (Sm) and Leaf Area Index (Iaf) values are not direct measurements but model-derived estimates produced by the STICS vine growth model calibrated to each region's soil and vine characteristics by Professor Cunha's group over decades of field work. These modelled variables are critical for the analysis: Sm represents the balance between precipitation, evapotranspiration, and soil water-holding capacity integrated daily, while Iaf represents vine canopy development as a continuous daily estimate anchored to the vine's phenological state.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In Stage 1 of the pipeline (script: 1_data_preparation_stage_1.R), five binary/threshold indicator variables were derived from the pre-processed daily records provided by Professor Cunha's group:</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Derived indicator</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R&gt;0.1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 &gt; 0.1 mm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 indicator (trace rainfall)</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Tmed&lt;15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 &lt; 15°C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Cold day, impairs flowering and fruit set</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Tmax&gt;35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 &gt; 35°C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Heat-stress day, causes flower abortion, accelerates ripening</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Tmin&lt;0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 &lt; 0°C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Frost day, potential bud and shoot damage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Sm&lt;1.5Wp</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 &lt; 1.5 × wilting point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Severe soil water stress, below vine survival threshold</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Sm&gt;0.9Fc</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 &gt; 0.9 × field capacity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Near-saturation, promotes disease, excessive vigour</w:t>
            </w:r>
          </w:p>
        </w:tc>
      </w:tr>
    </w:tbl>
    <w:p>
      <w:pPr>
        <w:spacing w:after="200" w:before="80"/>
        <w:jc w:val="center"/>
      </w:pPr>
      <w:r>
        <w:rPr>
          <w:rFonts w:ascii="Times New Roman" w:cs="Times New Roman" w:eastAsia="Times New Roman" w:hAnsi="Times New Roman"/>
          <w:i/>
          <w:iCs/>
          <w:sz w:val="20"/>
          <w:szCs w:val="20"/>
        </w:rPr>
        <w:t>Table 3.2. Binary threshold indicators derived from source daily meteorological variables in Stage 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wilting point (Wp) and field capacity (Fc) thresholds used in the Sm indicators were set based on soil profile parameters calibrated for each region. The resulting Stage 1 output is a clean daily dataset with 17 columns per region (dataPrep_meteo_rdd.csv, dataPrep_meteo_rvv.csv) spanning the full time horizon.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3.1.2 Phenology and Production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Annual wine production records and vine phenological dates were sourced from the Pheno_Prd source files maintained by the same research group (Pheno_Prd_1933_2022_recente.xlsx for RDD; equivalent for RVV). Each annual record contains: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tblGrid>
      <w:tr>
        <w:trPr>
          <w:tblHeader/>
        </w:trPr>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5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Wine_mhl</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regional wine production (thousands of hectolitres)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DOY_BB</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Bud Break, start of vegetative growth</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DOY_Fl</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Flowering, critical fruit-set window</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DOY_sM</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Start of Maturity (veraison), berry ripening begins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DOY_Fs</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Fruit Set, end of berry cell division</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DOY_Hv</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Harvest, end of growing season</w:t>
            </w:r>
          </w:p>
        </w:tc>
      </w:tr>
    </w:tbl>
    <w:p>
      <w:pPr>
        <w:spacing w:after="200" w:before="80"/>
        <w:jc w:val="center"/>
      </w:pPr>
      <w:r>
        <w:rPr>
          <w:rFonts w:ascii="Times New Roman" w:cs="Times New Roman" w:eastAsia="Times New Roman" w:hAnsi="Times New Roman"/>
          <w:i/>
          <w:iCs/>
          <w:sz w:val="20"/>
          <w:szCs w:val="20"/>
        </w:rPr>
        <w:t xml:space="preserve">Table 3.3. Annual phenology and production variables.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phenological dates (DOY_BB through DOY_Hv) are derived from the STICS phenological sub-model and represent the average calendar date of each key event across the regional vine population for each year. These dates vary by 2–4 weeks across years for each stage, reflecting the sensitivity of vine phenology to temperature, warmer springs advance flowering and harvest, cooler springs delay them. The variability in these anchor dates is what makes phenology-based windowing more informative than fixed calendar windows: a feature computed as "the 20 days before Harvest" adapts to the actual harvest date of each year rather than always covering, say, the first three weeks of September.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production series for RDD spans 1933–2022 (90 observations), but the feature construction starts at 1934 to allow for previous-year (y0) features, leaving 89 usable observations. For RVV, the series spans 1942–2021 with 80 usable observations. The production values show the structural trajectories described in Chapter 2: RDD production ranging from 518 to 1,961 mhl with a mean of 1,116 mhl and an upward trend; RVV production ranging from 494 to 3,443 mhl with a mean of 1,621 mhl and a sharp downward trend since the 1960s.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3.2 Feature Engineering: From Daily Records to Annual Features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core methodological contribution of the data pipeline is the transformation from 32,842 (RDD) and 29,902 (RVV) daily records into 59 annual agroclimatic features per region. This transformation is performed by script 2_features_creation.R and is anchored entirely on the phenological dates for each year. For each year y1, each combination of (meteorological variable × phenological anchor × window position × window width × year offset) defines one feature.</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3.2.1 Feature Naming Convention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59 features follow a systematic naming convention that encodes all relevant information about how the feature was computed:</w:t>
      </w:r>
    </w:p>
    <w:p>
      <w:pPr>
        <w:spacing w:after="80" w:before="80"/>
      </w:pPr>
      <w:r>
        <w:t xml:space="preserve"/>
      </w:r>
    </w:p>
    <w:p>
      <w:pPr>
        <w:spacing w:after="60" w:before="60"/>
        <w:ind w:left="720"/>
      </w:pPr>
      <w:r>
        <w:rPr>
          <w:rFonts w:ascii="Courier New" w:cs="Courier New" w:eastAsia="Courier New" w:hAnsi="Courier New"/>
          <w:sz w:val="20"/>
          <w:szCs w:val="20"/>
        </w:rPr>
        <w:t xml:space="preserve">{variable}_{stage}_{year}_{position}{width}</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tblGrid>
      <w:tr>
        <w:trPr>
          <w:tblHeader/>
        </w:trPr>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Component</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Options</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Meaning</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variable</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 tn, swa, iaf, rf, days.rf, sw.less.15wp, sw.above.09fc, days.maxTemp.above.35, tm.days.less.15, days.minTemp.less.0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meteorological quantity being aggregated</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stage</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bb (Bud Break), fl (Flowering), sM (Start Maturity), hv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phenological anchor point for the window</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year</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y1 (current harvest year), y0 (previous year)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Which growing season the feature refers to</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position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 (centred), b (before), a (after)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Whether the window is centred on, before, or after the stage date</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width</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10, 15, 20, 30 (days)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Half-width (centred) or full width (before/after) of the aggregation window</w:t>
            </w:r>
          </w:p>
        </w:tc>
      </w:tr>
    </w:tbl>
    <w:p>
      <w:pPr>
        <w:spacing w:after="200" w:before="80"/>
        <w:jc w:val="center"/>
      </w:pPr>
      <w:r>
        <w:rPr>
          <w:rFonts w:ascii="Times New Roman" w:cs="Times New Roman" w:eastAsia="Times New Roman" w:hAnsi="Times New Roman"/>
          <w:i/>
          <w:iCs/>
          <w:sz w:val="20"/>
          <w:szCs w:val="20"/>
        </w:rPr>
        <w:t xml:space="preserve">Table 3.4. Feature naming convention components.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example: swa_hv_y1_b20 = soil water availability (swa), in the 20 days BEFORE (b20) Harvest (hv), in the current year (y1). tm_fl_y0_b10 = mean temperature (tm), in the 10 days BEFORE (b10) Flowering (fl), in the PREVIOUS year (y0). iaf_fl_y1_a10 = Leaf Area Index (iaf), in the 10 days AFTER (a10) Flowering (fl), in the current year (y1).</w:t>
      </w:r>
    </w:p>
    <w:p>
      <w:pPr>
        <w:spacing w:after="80" w:before="80"/>
      </w:pPr>
      <w:r>
        <w:t xml:space="preserve"/>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3.2.2 Feature Groups and Counts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Table 3.5 summarises the 59 features by variable family and their counts. The distribution reflects the relative importance of different variable types in the viticulture literature: mean temperature (tm) and minimum temperature (tn) variables are most numerous because temperature governs nearly every phenological process; soil water and LAI variables are next because they are the primary within-season stress indicators; rainfall and heat/cold day counts complete the picture.</w:t>
      </w:r>
    </w:p>
    <w:p>
      <w:pPr>
        <w:spacing w:after="80" w:before="8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700"/>
        <w:gridCol w:w="40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 family</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Symbol</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Count</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What it measures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daily temperature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Average thermal conditions at key phenological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Leaf Area Index</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Vine canopy development, proxy for vegetative vigour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deficit days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sw.less.15wp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Days when soil water &lt; 1.5× wilting point, severe stress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event count</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Number of days with rainfall &gt; 1 mm, disease pressure proxy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availability</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Absolute soil water balance at harvest and flowering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saturation days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Days when soil water &gt; 90% field capacity, excess moisture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stress days (Tmax &gt; 35°C)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 / days.tempMax.above.35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Extreme heat events, flower abortion and thermal damage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sum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rf</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precipitation at harvest and flowering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(Tmed &lt; 15°C)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Cool days impairing pollination and fruit set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days (Tmin &lt; 0°C)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days.minTemp.less.0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Frost events, bud and shoot damage risk</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 temperature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Night temperature at harvest, berry quality proxy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soil water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y0 variants of swa/sw</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Carry-over water stress from prior season</w:t>
            </w:r>
          </w:p>
        </w:tc>
      </w:tr>
    </w:tbl>
    <w:p>
      <w:pPr>
        <w:spacing w:after="200" w:before="80"/>
        <w:jc w:val="center"/>
      </w:pPr>
      <w:r>
        <w:rPr>
          <w:rFonts w:ascii="Times New Roman" w:cs="Times New Roman" w:eastAsia="Times New Roman" w:hAnsi="Times New Roman"/>
          <w:i/>
          <w:iCs/>
          <w:sz w:val="20"/>
          <w:szCs w:val="20"/>
        </w:rPr>
        <w:t xml:space="preserve">Table 3.5. Feature groups, counts, and agronomic meanings. Total: 59 features per region.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3.2.3 Current-Year vs Previous-Year Features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key design decision in the feature engineering was the inclusion of previous-year (y0) features alongside current-year (y1) features. As discussed in Section 2.2, vine physiology has a two-year temporal structure: inflorescence primordia that determine current-year bunch number are formed in the prior growing season, and vine carbohydrate reserves that determine shoot vigour are accumulated during the prior year's harvest-to-dormancy period. Failing to include prior-year features would miss this carry-over mechanism entirely.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the final feature matrix, 15 of the 59 features (25%) use y0 (previous-year) anchors. The most agronomically motivated y0 features are: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tm_fl_y0_b10 </w:t>
      </w:r>
      <w:r>
        <w:rPr>
          <w:rFonts w:ascii="Times New Roman" w:cs="Times New Roman" w:eastAsia="Times New Roman" w:hAnsi="Times New Roman"/>
          <w:sz w:val="24"/>
          <w:szCs w:val="24"/>
        </w:rPr>
        <w:t>(mean temperature in the 10 days before previous-year flowering): captures the thermal conditions governing inflorescence primordia formation in the prior season, the mechanism that determines current-year bunch potential.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tm_bb_y0_a30 </w:t>
      </w:r>
      <w:r>
        <w:rPr>
          <w:rFonts w:ascii="Times New Roman" w:cs="Times New Roman" w:eastAsia="Times New Roman" w:hAnsi="Times New Roman"/>
          <w:sz w:val="24"/>
          <w:szCs w:val="24"/>
        </w:rPr>
        <w:t xml:space="preserve">(mean temperature in the 30 days after previous-year bud break): captures the early-season thermal conditions that initiate the prior year's vegetative growth phase, influencing vine carbohydrate allocation.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tm_sm_y0_a20 </w:t>
      </w:r>
      <w:r>
        <w:rPr>
          <w:rFonts w:ascii="Times New Roman" w:cs="Times New Roman" w:eastAsia="Times New Roman" w:hAnsi="Times New Roman"/>
          <w:sz w:val="24"/>
          <w:szCs w:val="24"/>
        </w:rPr>
        <w:t xml:space="preserve">(mean temperature in the 20 days after previous-year start of maturity): captures the heat load during the prior year's ripening phase, which governs both berry quality in the prior year and the vine's thermal stress exposure at the end of the growing season.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sw.above.09fc_fl_y0_a20 </w:t>
      </w:r>
      <w:r>
        <w:rPr>
          <w:rFonts w:ascii="Times New Roman" w:cs="Times New Roman" w:eastAsia="Times New Roman" w:hAnsi="Times New Roman"/>
          <w:sz w:val="24"/>
          <w:szCs w:val="24"/>
        </w:rPr>
        <w:t>(soil saturation days in the 20 days after previous-year flowering): captures prior-year excess soil moisture during flowering, the carry-over mechanism identified in RVV CarenR Rule 2 (see Section 4.1.2).</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3.2.4 Feature Discretisation for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continuous feature matrix (dataPrep_cont_dataset_*.csv, 59 columns × 89/80 rows) is used directly by M5Rules and RIPPER, which perform their own internal threshold finding. For CarenR, a separate discretised version of the dataset (dataPrep_dis_rule_dataset_*.csv) is produced by script 2_features_creation.R using equal-frequency binning into four quartile intervals. Each feature is independently divided into four bins, each containing approximately 25% of the training observations, with the boundaries represented as interval notation (e.g. [18.3|22.4] for the bin from 18.3°C to 22.4°C).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equal-frequency choice, rather than equal-width or domain-knowledge-based breakpoints, ensures that each bin is populated by a comparable number of observations. This is important for the KS test used by CarenR: a bin with only two or three observations would produce an unreliable distributional comparison regardless of its meteorological significance. In the walk-forward scenarios, the bin boundaries are re-estimated within each training fold, ensuring that the discretisation reflects the distribution of climate conditions actually observed in the training period, not the full historical record that would be unknowable at prediction time.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 Data Pipeline Summary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3.1 summarises the complete data pipeline from raw sources to the final modelling datasets. The pipeline was implemented as a sequence of seven R scripts coordinated by a master runner (run_all_pipelines.R), with all intermediate datasets written to disk at each stage to allow inspection and validation.</w:t>
      </w:r>
    </w:p>
    <w:p>
      <w:pPr>
        <w:spacing w:before="200" w:after="0"/>
        <w:jc w:val="center"/>
      </w:pPr>
      <w:r>
        <w:rPr/>
        <w:drawing>
          <wp:inline xmlns:wp="http://schemas.openxmlformats.org/drawingml/2006/wordprocessingDrawing" distT="0" distB="114300" distL="0" distR="0">
            <wp:extent cx="5486400" cy="3798277"/>
            <wp:effectExtent l="0" t="0" r="0" b="0"/>
            <wp:docPr id="1001" name="Figure 3.1 Pipeline Flow" descr="Figure 3.1 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 3.1 Pipeline Flow"/>
                    <pic:cNvPicPr>
                      <a:picLocks noChangeAspect="1"/>
                    </pic:cNvPicPr>
                  </pic:nvPicPr>
                  <pic:blipFill>
                    <a:blip xmlns:r="http://schemas.openxmlformats.org/officeDocument/2006/relationships" r:embed="rIdPipe1"/>
                    <a:stretch>
                      <a:fillRect/>
                    </a:stretch>
                  </pic:blipFill>
                  <pic:spPr>
                    <a:xfrm>
                      <a:off x="0" y="0"/>
                      <a:ext cx="5486400" cy="3798277"/>
                    </a:xfrm>
                    <a:prstGeom prst="rect">
                      <a:avLst/>
                    </a:prstGeom>
                    <a:noFill/>
                    <a:ln>
                      <a:noFill/>
                    </a:ln>
                  </pic:spPr>
                </pic:pic>
              </a:graphicData>
            </a:graphic>
          </wp:inline>
        </w:drawing>
      </w:r>
    </w:p>
    <w:p>
      <w:pPr>
        <w:spacing w:before="80" w:after="220"/>
        <w:jc w:val="center"/>
      </w:pPr>
      <w:r>
        <w:rPr>
          <w:i/>
          <w:rFonts w:ascii="Arial" w:hAnsi="Arial"/>
          <w:sz w:val="20"/>
          <w:szCs w:val="20"/>
          <w:color w:val="444444"/>
        </w:rPr>
        <w:t xml:space="preserve">Figure 3.1. Experiment pipeline: Stage 0 data preparation (1_data_preparation_stage_1.R, 2_features_creation.R), Part 1 rule discovery (3_carenR__application.R, 4_ripper_pipeline.R, 5_m5rules_pipeline.R, 9_rule_interpreter.R), and Part 2 walk-forward predictive validation (6_scenario_validation.R, 10_rule_overlap_analysis.R). run_all_pipelines.R orchestrates all steps for both regions.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2000"/>
        <w:gridCol w:w="3000"/>
      </w:tblGrid>
      <w:tr>
        <w:trPr>
          <w:tblHeader/>
        </w:trPr>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Stage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Script</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Input</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Output</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Key transformation</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 Raw data</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(external)</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BCM_base*.xls
Pheno_Prd*.xlsx</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Excel files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climate + annual phenology/production from field stations and STICS model</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 Daily prep</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1_data_preparation_stage_1.R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Excel files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dataPrep_meteo_*.csv
dataPrep_production_*.csv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Column standardisation, binary threshold indicators (Tmax&gt;35, Sm&lt;1.5Wp etc.), date decomposition. 32,842 rows (RDD), 29,902 rows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 Feature engineering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2_features_creation.R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dataPrep_meteo_*.csv
dataPrep_production_*.csv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dataPrep_cont_dataset_*.csv
dataPrep_dis_rule_dataset_*.csv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Phenological window aggregation → 59 annual features per region. Equal-frequency discretisation (4 bins) for CarenR. 89 rows (RDD), 80 rows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3: Rule discovery</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3_carenR__application.R
4_ripper_pipeline.R
5_m5rules_pipeline.R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dataPrep_*_dataset_*.csv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RulesTemp_*_linear.csv
ripper_rules_*.txt
m5rules_rules_*.txt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Full-dataset rule induction for all three algorithms. CarenR: 48 rules (RDD), 20 rules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4: Walk-forward validation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6_scenario_validation.R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dataPrep_cont_dataset_*.csv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scenario_metrics_*.csv
scenario_predictions_*.csv
scenario_summary_*.csv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17-model × 18/16 scenario expanding-window evaluation. All preprocessing within fold.</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5: Rule interpretation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9_rule_interpreter.R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RulesTemp_*.csv
ripper_rules_*.txt
m5rules_rules_*.txt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rules_interpreted_*.txt/.csv
ripper_interpreted_*.txt
m5rules_interpreted_*.txt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Translation of raw rule outputs to plain-English descriptions with agronomic pathway annotations.</w:t>
            </w:r>
          </w:p>
        </w:tc>
      </w:tr>
    </w:tbl>
    <w:p>
      <w:pPr>
        <w:spacing w:after="200" w:before="80"/>
        <w:jc w:val="center"/>
      </w:pPr>
      <w:r>
        <w:rPr>
          <w:rFonts w:ascii="Times New Roman" w:cs="Times New Roman" w:eastAsia="Times New Roman" w:hAnsi="Times New Roman"/>
          <w:i/>
          <w:iCs/>
          <w:sz w:val="20"/>
          <w:szCs w:val="20"/>
        </w:rPr>
        <w:t xml:space="preserve">Table 3.6. Complete data pipeline from raw sources to final outputs. Each stage writes intermediate datasets to disk for auditability.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entire pipeline from Stage 1 through Stage 5 is reproducible by running run_all_pipelines.R. All key configuration parameters were fixed before the final analysis run and are centralised in utils/config.R. Table 3.7 summarises the fixed configuration choices.</w:t>
      </w:r>
    </w:p>
    <w:tbl>
      <w:tblPr>
        <w:tblW w:type="dxa" w:w="8000"/>
        <w:tblBorders>
          <w:top w:val="single" w:color="888888" w:sz="1"/>
          <w:left w:val="single" w:color="888888" w:sz="1"/>
          <w:bottom w:val="single" w:color="888888" w:sz="1"/>
          <w:right w:val="single" w:color="888888" w:sz="1"/>
          <w:insideH w:val="single" w:color="888888" w:sz="1"/>
          <w:insideV w:val="single" w:color="888888" w:sz="1"/>
        </w:tblBorders>
      </w:tblPr>
      <w:t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Location in code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Detrending method</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(OLS)</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config.R: detrend_method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support threshold</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 (sᵢ ≥ 0.15)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config.R: support_threshold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Significance threshold</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 ≤ 0.10</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config.R: alpha_threshold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 training fraction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config.R: min_train_frac</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Feature selection strategy</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 variant (η², Pearson, or support-filtered)</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config.R: fs_strategy</w:t>
            </w:r>
          </w:p>
        </w:tc>
      </w:tr>
    </w:tbl>
    <w:p>
      <w:pPr>
        <w:jc w:val="center"/>
      </w:pPr>
      <w:r>
        <w:rPr>
          <w:i/>
          <w:sz w:val="20"/>
        </w:rPr>
        <w:t>Table 3.7. Fixed configuration parameters for the final analysis run (utils/config.R).</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ipe1" Type="http://schemas.openxmlformats.org/officeDocument/2006/relationships/image" Target="media/fig_pipeline_flow.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2026-06-04T16:06:04.466Z</dcterms:created>
  <dcterms:modified xsi:type="dcterms:W3CDTF">2026-06-04T16:06:04.466Z</dcterms:modified>
</cp:coreProperties>
</file>

<file path=docProps/custom.xml><?xml version="1.0" encoding="utf-8"?>
<Properties xmlns="http://schemas.openxmlformats.org/officeDocument/2006/custom-properties" xmlns:vt="http://schemas.openxmlformats.org/officeDocument/2006/docPropsVTypes"/>
</file>