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Thesis Defense — Technical Q&amp;A</w:t>
      </w:r>
    </w:p>
    <w:p>
      <w:r>
        <w:rPr>
          <w:i/>
          <w:iCs/>
        </w:rPr>
        <w:t xml:space="preserve">Hugo Nogueira | MSc Data Science and Engineering | FEUP | June 2026</w:t>
      </w:r>
    </w:p>
    <w:p>
      <w:r>
        <w:t xml:space="preserve"/>
      </w:r>
    </w:p>
    <w:p>
      <w:pPr>
        <w:pStyle w:val="Heading2"/>
      </w:pPr>
      <w:r>
        <w:t xml:space="preserve">Q1. What do the p-values in Goal 2 mean, and are they from the same test?</w:t>
      </w:r>
    </w:p>
    <w:p>
      <w:pPr>
        <w:spacing w:after="120"/>
      </w:pPr>
      <w:r>
        <w:t xml:space="preserve">There are three p-values in the Goal 2 results, each from a different test on a different subset of scenarios:</w:t>
      </w:r>
    </w:p>
    <w:p>
      <w:pPr>
        <w:spacing w:after="80"/>
      </w:pPr>
      <w:r>
        <w:t xml:space="preserve">RDD overall — Wilcoxon p = 0.468 (not significant). CarenR's error (189 mhl) is only 3% worse than the baseline (184 mhl). Across 18 scenarios, wins and losses are roughly balanced with no consistent direction. The high p-value means the difference could easily be due to chance — CarenR neither clearly beats nor clearly loses to the baseline.</w:t>
      </w:r>
    </w:p>
    <w:p>
      <w:pPr>
        <w:spacing w:after="80"/>
      </w:pPr>
      <w:r>
        <w:t xml:space="preserve">RVV when rules fired — Wilcoxon p = 0.004 (significant, but harmful). CarenR is 22% worse than the baseline. In the 9 scenarios where rules fired, CarenR consistently performed worse — losses are large and systematic. The low p-value confirms this is a real effect, but in the wrong direction: rules are actively harmful in RVV.</w:t>
      </w:r>
    </w:p>
    <w:p>
      <w:pPr>
        <w:spacing w:after="80"/>
      </w:pPr>
      <w:r>
        <w:t xml:space="preserve">RDD era-balanced scenarios — Binomial p = 0.031 (significant, positive). In the 5 scenarios where training data reached ~29% post-1990 representation, CarenR won all 5. The probability of this happening by chance is low (p = 0.031), suggesting a genuine conditional regime where CarenR works. This is a post-hoc exploratory finding.</w:t>
      </w:r>
    </w:p>
    <w:p>
      <w:pPr>
        <w:spacing w:after="120"/>
      </w:pPr>
      <w:r>
        <w:t xml:space="preserve">Summary: RDD overall is inconclusive; RVV when rules fire is significantly bad; RDD in era-balanced scenarios is significantly good. The tests differ in both the statistical method (Wilcoxon vs Binomial sign test) and the subset of scenarios evaluated.</w:t>
      </w:r>
    </w:p>
    <w:p/>
    <w:p>
      <w:r>
        <w:rPr>
          <w:b/>
          <w:sz w:val="26"/>
        </w:rPr>
        <w:t>Q2. Why was a Decision Tree chosen as the non-rule comparator?</w:t>
      </w:r>
    </w:p>
    <w:p>
      <w:r>
        <w:rPr>
          <w:sz w:val="24"/>
        </w:rPr>
        <w:t>A Decision Tree sits at the boundary between rule-based and non-rule-based models. It produces an interpretable tree structure and respects the interpretability requirement, but unlike CarenR, RIPPER, and M5Rules it does not output explicit IF-THEN rules. This makes it a useful comparator: if CarenR beats a Decision Tree, it shows that the distributional rule approach adds value over simpler tree-based splitting. It is also a standard baseline in ML benchmarking and widely understood by the audience.</w:t>
      </w:r>
    </w:p>
    <w:p/>
    <w:p>
      <w:r>
        <w:rPr>
          <w:b/>
          <w:sz w:val="26"/>
        </w:rPr>
        <w:t>Q3. Why are Gaussian Process methods excluded, and what are they?</w:t>
      </w:r>
    </w:p>
    <w:p>
      <w:r>
        <w:rPr>
          <w:sz w:val="24"/>
        </w:rPr>
        <w:t>Gaussian Process (GP) regression is a probabilistic method that models the target variable as a draw from a multivariate Gaussian distribution. It produces uncertainty estimates alongside predictions, which can be valuable in small datasets. It was excluded — along with Deep Learning and ensemble methods — because it produces no interpretable rule output. The exclusion criterion throughout is interpretability: only methods that produce explicit, human-readable rules are in scope. Naming Gaussian Processes specifically in the thesis was potentially confusing for readers unfamiliar with the method; the revised text groups all excluded approaches under "non-interpretable regression approaches."</w:t>
      </w:r>
    </w:p>
    <w:p/>
    <w:p>
      <w:r>
        <w:rPr>
          <w:b/>
          <w:sz w:val="26"/>
        </w:rPr>
        <w:t>Q4. Is there an algorithmic feature selection step in Goal 1 (rule discovery)?</w:t>
      </w:r>
    </w:p>
    <w:p>
      <w:r>
        <w:rPr>
          <w:sz w:val="24"/>
        </w:rPr>
        <w:t>No. For Goal 1, CarenR operates on the complete set of domain-engineered features derived from the grape phenological cycle. These 59 features were constructed using viticulture domain knowledge — covering temperature, rainfall, soil water, and LAI at each phenological stage — and no further algorithmic filtering is applied before the rule search. The beam search evaluates all feature-bin combinations directly.</w:t>
      </w:r>
    </w:p>
    <w:p>
      <w:r>
        <w:rPr>
          <w:sz w:val="24"/>
        </w:rPr>
        <w:t>Algorithmic feature selection only occurs in Goal 2 (walk-forward prediction), where the 11 CarenR variants differ precisely in which feature selection strategy is applied within each training fold. This distinction is important: the 11 variants test sensitivity to feature selection under prediction conditions, not under rule discovery conditions.</w:t>
      </w:r>
    </w:p>
    <w:p/>
    <w:p>
      <w:r>
        <w:rPr>
          <w:b/>
          <w:sz w:val="26"/>
        </w:rPr>
        <w:t>Q5. Does CarenR use the mean or median of the subgroup when making predictions?</w:t>
      </w:r>
    </w:p>
    <w:p>
      <w:r>
        <w:rPr>
          <w:sz w:val="24"/>
        </w:rPr>
        <w:t>CarenR uses the median residual of the matching subgroup, not the mean. When one or more rules fire for a test year, the prediction is the support-weighted combination of each matching rule's subgroup median. When no CarenR rule achieves sufficient support to fire, the prediction framework falls back to the median of all training residuals (the Naive_Median baseline). The choice of median over mean makes the prediction more robust to outliers within subgroups, which is important given the small sample sizes in each subgroup.</w:t>
      </w:r>
    </w:p>
    <w:p>
      <w:r>
        <w:rPr>
          <w:sz w:val="24"/>
        </w:rPr>
        <w:t>Note: the prediction formula in the thesis uses the symbol μᵢ, which conventionally denotes the mean. This should be read as the subgroup median and may need to be updated to m̃ᵢ for notational correctness — to be confirmed with the supervisor.</w:t>
      </w:r>
    </w:p>
    <w:p/>
    <w:p>
      <w:r>
        <w:rPr>
          <w:b/>
          <w:sz w:val="26"/>
        </w:rPr>
        <w:t>Q6. Why use Pearson correlation for feature selection when features are discrete and the target is continuous?</w:t>
      </w:r>
    </w:p>
    <w:p>
      <w:r>
        <w:rPr>
          <w:sz w:val="24"/>
        </w:rPr>
        <w:t>After discretisation, features are ordinal (4 bins) while the target remains continuous. Pearson correlation in this setting treats bin numbers as equally spaced, which is an approximation. The more statistically appropriate measure is η² (eta-squared), the ANOVA effect size, which measures how much of the variance in the continuous target is explained by the discrete feature groupings — directly answering whether the four bins produce meaningfully different production distributions without assuming linearity or equal spacing.</w:t>
      </w:r>
    </w:p>
    <w:p>
      <w:r>
        <w:rPr>
          <w:sz w:val="24"/>
        </w:rPr>
        <w:t>Pearson correlation was included as a simpler, widely understood alternative. As a ranking criterion (not a hypothesis test), it tends in practice to identify the same features as η². The support-filtered Pearson variant adds a coverage constraint. The fact that all three strategies converge on the same variable families (Section 4.6) confirms that the feature rankings are robust to the choice of selection criterion, regardless of the theoretical differences between the measures.</w:t>
      </w:r>
    </w:p>
    <w:p/>
    <w:p>
      <w:pPr>
        <w:pStyle w:val="Heading2"/>
      </w:pPr>
      <w:r>
        <w:rPr>
          <w:b/>
          <w:sz w:val="26"/>
        </w:rPr>
        <w:t>Q7. Why does the support-weighted prediction formula divide by the sum of supports?</w:t>
      </w:r>
    </w:p>
    <w:p>
      <w:pPr/>
      <w:r>
        <w:rPr/>
        <w:t>The formula computes a weighted average, not a weighted sum. Each support value sᵢ represents the independent fraction of training observations covered by rule i. Because rules can overlap and their supports are not constrained to sum to 1, simply computing Σ sᵢ · m̃ᵢ would produce a value that scales with the number of firing rules and the magnitude of their supports — not a meaningful prediction.</w:t>
        <w:br/>
        <w:br/>
        <w:t>The division by Σ sᵢ normalises the weights so they sum to 1, yielding a proper weighted mean. A sanity check: when exactly one rule fires, the formula reduces to s₁ · m̃₁ / s₁ = m̃₁ — the prediction is simply the subgroup median, independent of support. When two rules fire with equal support, the result is their simple average (s · m̃₁ + s · m̃₂) / (2s) = (m̃₁ + m̃₂) / 2. Without the denominator, the prediction would increase artificially as more rules fire, even if those rules agree.</w:t>
      </w:r>
    </w:p>
    <w:p/>
    <w:p>
      <w:r>
        <w:rPr>
          <w:b/>
          <w:sz w:val="26"/>
        </w:rPr>
        <w:t>Q8. After the rule-based prediction is made, why is a re-trending step needed?</w:t>
      </w:r>
    </w:p>
    <w:p>
      <w:r>
        <w:rPr/>
        <w:t>The rule-based models operate on linearly detrended residuals rₜ = yₜ − (α + βt), not on raw production. This is by design: detrending removes the long-run yield growth signal so that CarenR can focus on within-era climate-driven variation.</w:t>
        <w:br/>
        <w:br/>
        <w:t>However, the MAE evaluation and the reported prediction must be on the original production scale (mhl). The re-trending step reverses the detrending by adding back the linear trend projected to the test year: ŷₜ(original) = ŷₜ(residual) + (α̂ + β̂·t). For the worked example, the +117.3 mhl residual prediction is added to the 2015 trend value to produce the final estimate, which is then compared directly to the actual 2015 production for the MAE computation. Without this step, errors would be measured on residuals rather than on production, making the results incomparable to any non-detrended baseline.</w:t>
      </w:r>
    </w:p>
    <w:p/>
    <w:p>
      <w:r>
        <w:rPr>
          <w:b/>
          <w:sz w:val="26"/>
        </w:rPr>
        <w:t>Q9. M5Rules shows a negative coefficient for harvest soil water, but CarenR identifies moderate soil water as above-trend. Are these contradictory?</w:t>
      </w:r>
    </w:p>
    <w:p>
      <w:r>
        <w:rPr/>
        <w:t>No — they reflect different mathematical lenses on the same variable. M5Rules fits a global linear model across all soil water values: the dominant signal is that high soil water before harvest is harmful (berry dilution, disease pressure), producing a negative slope of −2.3 mhl/mm. CarenR identifies a specific moderate-deficit range [74–101 mm] as a distributional sweet spot relative to both dry and wet extremes — very dry years and very wet years are both below trend, and the moderate range stands out. This non-linear, bin-specific structure is exactly what distributional subgroup discovery is designed to detect and what a global linear model cannot represent. The two methods are not contradicting each other; they are capturing different aspects of the same underlying relationship at different levels of resolution. A further explanation for the negative coefficient is the absence of interaction terms in the global linear model. High soil water in the data tends to co-occur with wet, cool conditions that are independently harmful (disease pressure, slow ripening, berry dilution), so the marginal coefficient absorbs these confounded co-occurrences and appears negative overall. CarenR's multi-condition rules sidestep this: the above-trend subgroup requires moderate soil water together with dry post-flowering conditions and bounded heat — a combination a global additive linear model cannot capture without explicit interaction terms. This is a concrete illustration of why distributional subgroup discovery can recover structure that linear regression misses.</w:t>
      </w:r>
    </w:p>
    <w:p/>
    <w:p>
      <w:r>
        <w:rPr>
          <w:b/>
          <w:sz w:val="26"/>
        </w:rPr>
        <w:t>Q10. Why are uncorrected p-values reported in the statistical tests?</w:t>
      </w:r>
    </w:p>
    <w:p>
      <w:r>
        <w:rPr/>
        <w:t>Uncorrected p-values are reported because this is an exploratory study comparing a small number of models, not a large-scale hypothesis testing scenario where multiple comparison correction would be critical. The results are interpreted descriptively rather than as formal significance claims, so the risk of false positives from multiple testing is limited in this context.</w:t>
        <w:br/>
        <w:br/>
        <w:t>For context: corrections such as Bonferroni or Benjamini–Hochberg adjust the significance threshold downward when many tests are run simultaneously — the concern being that some tests will appear significant purely by chance. In this thesis, only three statistical tests are reported (RDD overall, RVV when rules fire, RDD era-balanced scenarios), and they test distinct, pre-specified hypotheses on different subsets of scenarios. Applying a correction would be overly conservative given the small number of comparisons and the exploratory nature of the analysis. The disclosure is a transparency note, not an indication of a methodological weakness.</w:t>
      </w:r>
    </w:p>
    <w:p/>
    <w:p>
      <w:r>
        <w:rPr>
          <w:b/>
          <w:sz w:val="26"/>
        </w:rPr>
        <w:t>Q11. Why did CarenR_Supervised perform worst, and what is target leakage?</w:t>
      </w:r>
    </w:p>
    <w:p>
      <w:r>
        <w:rPr/>
        <w:t>CarenR_Supervised was the worst-performing variant in both regions (rank 15; RDD 240 mhl, RVV 347 mhl). To understand why, it helps to understand what “supervised” means in this context.</w:t>
        <w:br/>
        <w:br/>
        <w:t>When CarenR discretises a continuous feature (e.g., temperature) into bins, it needs to decide where to draw the bin boundaries. The supervised variant chooses those boundaries by looking at the target variable (production residuals) — it picks the cuts that best separate high vs low production years. This sounds sensible, but the problem is that the boundaries are optimised on the same training fold that CarenR then uses to search for rules. So by the time CarenR asks “does this bin predict production?”, the answer is almost always yes — because the bins were designed to separate production classes on that exact data. The rules look very significant in training but do not generalise to unseen years.</w:t>
        <w:br/>
        <w:br/>
        <w:t>This is called target leakage: information about the outcome (production) sneaks into the feature engineering step before the model is trained. It is like marking your own exam — you will always score well, but you have not learned anything real. The supervised variant also discovers far more rules per scenario (46–146 vs fewer for unsupervised variants), because the tailored bin boundaries make many more feature-bin combinations appear statistically significant. More rules here means more overfitting, not more signal.</w:t>
        <w:br/>
        <w:br/>
        <w:t>In one sentence: the supervised variant learns bin boundaries and rules from the same data, so it finds patterns specific to the training fold rather than genuine climate signals — and those patterns do not transfer to unseen years. The result is consistent across both regions, confirming this is a structural flaw in the approach rather than a dataset-specific artefact.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2026-06-06T18:29:04.006Z</dcterms:created>
  <dcterms:modified xsi:type="dcterms:W3CDTF">2026-06-06T18:29:04.006Z</dcterms:modified>
</cp:coreProperties>
</file>

<file path=docProps/custom.xml><?xml version="1.0" encoding="utf-8"?>
<Properties xmlns="http://schemas.openxmlformats.org/officeDocument/2006/custom-properties" xmlns:vt="http://schemas.openxmlformats.org/officeDocument/2006/docPropsVTypes"/>
</file>