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Experiment Log &amp; Research Documentation</w:t>
      </w:r>
    </w:p>
    <w:p/>
    <w:p>
      <w:pPr>
        <w:jc w:val="center"/>
      </w:pPr>
      <w:r>
        <w:rPr>
          <w:color w:val="404040"/>
          <w:sz w:val="28"/>
        </w:rPr>
        <w:t>Predictive Scenario Validation Pipeline for Wine Production Forecasting</w:t>
        <w:br/>
        <w:t>Using Rule-Based Models in the Douro Valley Region (RVV)</w:t>
      </w:r>
    </w:p>
    <w:p/>
    <w:p/>
    <w:p>
      <w:pPr>
        <w:jc w:val="center"/>
      </w:pPr>
      <w:r>
        <w:rPr>
          <w:color w:val="606060"/>
          <w:sz w:val="24"/>
        </w:rPr>
        <w:t>PhD Thesis Research Log</w:t>
        <w:br/>
        <w:t>Faculty of Engineering, University of Porto (FEUP)</w:t>
        <w:br/>
        <w:t>Date: May 2026</w:t>
      </w:r>
    </w:p>
    <w:p>
      <w:r>
        <w:br w:type="page"/>
      </w:r>
    </w:p>
    <w:p>
      <w:pPr>
        <w:pStyle w:val="Heading1"/>
      </w:pPr>
      <w:r>
        <w:rPr>
          <w:color w:val="1F497D"/>
        </w:rPr>
        <w:t>Table of Contents</w:t>
      </w:r>
    </w:p>
    <w:p>
      <w:r>
        <w:rPr>
          <w:b/>
          <w:sz w:val="22"/>
        </w:rPr>
        <w:t xml:space="preserve">  1   Research Context and Motivation</w:t>
      </w:r>
    </w:p>
    <w:p>
      <w:r>
        <w:rPr>
          <w:b/>
          <w:sz w:val="22"/>
        </w:rPr>
        <w:t xml:space="preserve">  2   Dataset and Problem Setup</w:t>
      </w:r>
    </w:p>
    <w:p>
      <w:r>
        <w:rPr>
          <w:b/>
          <w:sz w:val="22"/>
        </w:rPr>
        <w:t xml:space="preserve">  3   Walk-Forward (Expanding Window) Scenario Validation</w:t>
      </w:r>
    </w:p>
    <w:p>
      <w:r>
        <w:rPr>
          <w:b/>
          <w:sz w:val="22"/>
        </w:rPr>
        <w:t xml:space="preserve">  4   Baseline Models</w:t>
      </w:r>
    </w:p>
    <w:p>
      <w:r>
        <w:rPr>
          <w:b/>
          <w:sz w:val="22"/>
        </w:rPr>
        <w:t xml:space="preserve">  5   Rule-Based Model Variants — Chronological Development</w:t>
      </w:r>
    </w:p>
    <w:p>
      <w:r>
        <w:rPr>
          <w:sz w:val="22"/>
        </w:rPr>
        <w:t xml:space="preserve">    5.1   CarenR_Dist — Core Distribution Rule Model</w:t>
      </w:r>
    </w:p>
    <w:p>
      <w:r>
        <w:rPr>
          <w:sz w:val="22"/>
        </w:rPr>
        <w:t xml:space="preserve">    5.2   Feature Selection Variants (FS, Thresh, Eta2)</w:t>
      </w:r>
    </w:p>
    <w:p>
      <w:r>
        <w:rPr>
          <w:sz w:val="22"/>
        </w:rPr>
        <w:t xml:space="preserve">    5.3   Support Threshold Variants (Sup, Sup_Thresh)</w:t>
      </w:r>
    </w:p>
    <w:p>
      <w:r>
        <w:rPr>
          <w:sz w:val="22"/>
        </w:rPr>
        <w:t xml:space="preserve">    5.4   CarenR_Dist_Lag — ACF-Based Lag Features</w:t>
      </w:r>
    </w:p>
    <w:p>
      <w:r>
        <w:rPr>
          <w:sz w:val="22"/>
        </w:rPr>
        <w:t xml:space="preserve">    5.5   CarenR_Dist_Conf — Confidence-Weighted Rules</w:t>
      </w:r>
    </w:p>
    <w:p>
      <w:r>
        <w:rPr>
          <w:sz w:val="22"/>
        </w:rPr>
        <w:t xml:space="preserve">    5.6   CarenR_Dist_Stack — Two-Stage Stacked Model</w:t>
      </w:r>
    </w:p>
    <w:p>
      <w:r>
        <w:rPr>
          <w:b/>
          <w:sz w:val="22"/>
        </w:rPr>
        <w:t xml:space="preserve">  6   Key Technical Decisions and Design Choices</w:t>
      </w:r>
    </w:p>
    <w:p>
      <w:r>
        <w:rPr>
          <w:b/>
          <w:sz w:val="22"/>
        </w:rPr>
        <w:t xml:space="preserve">  7   Full Results Table</w:t>
      </w:r>
    </w:p>
    <w:p>
      <w:r>
        <w:rPr>
          <w:b/>
          <w:sz w:val="22"/>
        </w:rPr>
        <w:t xml:space="preserve">  8   Main Conclusions</w:t>
      </w:r>
    </w:p>
    <w:p>
      <w:r>
        <w:rPr>
          <w:b/>
          <w:sz w:val="22"/>
        </w:rPr>
        <w:t xml:space="preserve">  9   Output Files Reference</w:t>
      </w:r>
    </w:p>
    <w:p>
      <w:r>
        <w:br w:type="page"/>
      </w:r>
    </w:p>
    <w:p>
      <w:pPr>
        <w:pStyle w:val="Heading1"/>
      </w:pPr>
      <w:r>
        <w:rPr>
          <w:color w:val="1F497D"/>
        </w:rPr>
        <w:t>1. Research Context and Motivation</w:t>
      </w:r>
    </w:p>
    <w:p>
      <w:r>
        <w:rPr>
          <w:b w:val="0"/>
          <w:i w:val="0"/>
          <w:sz w:val="22"/>
        </w:rPr>
        <w:t>This document records all experiments, design decisions, and conclusions from the predictive scenario validation component of the thesis. The research goal is to assess whether rule-based machine learning models — specifically the CAREN/CarenR framework — can provide useful predictive accuracy for annual wine production volume forecasting in the Douro Valley wine region (Região Vitivinícola do Vale do Douro, RVV), Portugal.</w:t>
      </w:r>
    </w:p>
    <w:p>
      <w:r>
        <w:rPr>
          <w:b w:val="0"/>
          <w:i w:val="0"/>
          <w:sz w:val="22"/>
        </w:rPr>
        <w:t>Wine production is a complex agro-climatic process. Annual yield at a regional scale is influenced by a combination of meteorological variables (temperature, precipitation, frost events), vine phenological stages, and longer-term trend factors (e.g., replanting, demand). Predicting a single annual number from a set of climate and agronomic features is inherently noisy — the signal-to-noise ratio is low.</w:t>
      </w:r>
    </w:p>
    <w:p>
      <w:r>
        <w:rPr>
          <w:b w:val="0"/>
          <w:i w:val="0"/>
          <w:sz w:val="22"/>
        </w:rPr>
        <w:t>The primary motivation for using rule-based models is NOT point prediction accuracy (which remains a stretch goal) but rather knowledge discovery: identifying which combinations of climate conditions are historically associated with high or low production years. The predictive evaluation serves as a validation mechanism — if the rules capture genuine patterns rather than overfitting noise, they should also produce predictions that are at least competitive with naive baselines.</w:t>
      </w:r>
    </w:p>
    <w:p>
      <w:pPr>
        <w:pStyle w:val="Heading2"/>
      </w:pPr>
      <w:r>
        <w:rPr>
          <w:color w:val="1F497D"/>
        </w:rPr>
        <w:t>Research Questions Addressed</w:t>
      </w:r>
    </w:p>
    <w:p>
      <w:pPr>
        <w:pStyle w:val="ListBullet"/>
      </w:pPr>
      <w:r>
        <w:rPr>
          <w:sz w:val="22"/>
        </w:rPr>
        <w:t>Can rule-based models outperform naive baselines for annual wine production forecasting?</w:t>
      </w:r>
    </w:p>
    <w:p>
      <w:pPr>
        <w:pStyle w:val="ListBullet"/>
      </w:pPr>
      <w:r>
        <w:rPr>
          <w:sz w:val="22"/>
        </w:rPr>
        <w:t>Which feature selection strategy best supports rule discovery in this domain?</w:t>
      </w:r>
    </w:p>
    <w:p>
      <w:pPr>
        <w:pStyle w:val="ListBullet"/>
      </w:pPr>
      <w:r>
        <w:rPr>
          <w:sz w:val="22"/>
        </w:rPr>
        <w:t>Does adding temporal lag features (autocorrelation) improve CarenR predictions?</w:t>
      </w:r>
    </w:p>
    <w:p>
      <w:pPr>
        <w:pStyle w:val="ListBullet"/>
      </w:pPr>
      <w:r>
        <w:rPr>
          <w:sz w:val="22"/>
        </w:rPr>
        <w:t>Is confidence-weighted rule aggregation better than support-weighted?</w:t>
      </w:r>
    </w:p>
    <w:p>
      <w:pPr>
        <w:pStyle w:val="ListBullet"/>
      </w:pPr>
      <w:r>
        <w:rPr>
          <w:sz w:val="22"/>
        </w:rPr>
        <w:t>Can a two-stage stacked model combining rules + regression outperform either alone?</w:t>
      </w:r>
    </w:p>
    <w:p>
      <w:pPr>
        <w:pStyle w:val="ListBullet"/>
      </w:pPr>
      <w:r>
        <w:rPr>
          <w:sz w:val="22"/>
        </w:rPr>
        <w:t>What are the honest conclusions about rule-based model predictive capability?</w:t>
      </w:r>
    </w:p>
    <w:p/>
    <w:p>
      <w:pPr>
        <w:pStyle w:val="Heading1"/>
      </w:pPr>
      <w:r>
        <w:rPr>
          <w:color w:val="1F497D"/>
        </w:rPr>
        <w:t>2. Dataset and Problem Setup</w:t>
      </w:r>
    </w:p>
    <w:p>
      <w:pPr>
        <w:pStyle w:val="Heading2"/>
      </w:pPr>
      <w:r>
        <w:rPr>
          <w:color w:val="1F497D"/>
        </w:rPr>
        <w:t>Target Variable</w:t>
      </w:r>
    </w:p>
    <w:p>
      <w:r>
        <w:rPr>
          <w:b w:val="0"/>
          <w:i w:val="0"/>
          <w:sz w:val="22"/>
        </w:rPr>
        <w:t>Wine production volume in the RVV region, measured in millions of hectolitres (mhl). One observation per year, spanning multiple decades. The series exhibits a long-term positive trend and high year-to-year variance (coefficient of variation &gt; 30%).</w:t>
      </w:r>
    </w:p>
    <w:p>
      <w:pPr>
        <w:pStyle w:val="Heading2"/>
      </w:pPr>
      <w:r>
        <w:rPr>
          <w:color w:val="1F497D"/>
        </w:rPr>
        <w:t>Feature Set</w:t>
      </w:r>
    </w:p>
    <w:p>
      <w:r>
        <w:rPr>
          <w:b w:val="0"/>
          <w:i w:val="0"/>
          <w:sz w:val="22"/>
        </w:rPr>
        <w:t>The feature set includes meteorological indices computed from daily climate station data (aggregated to growing season windows: dormancy, flowering, veraison, harvest). Key feature categories:</w:t>
      </w:r>
    </w:p>
    <w:p>
      <w:pPr>
        <w:pStyle w:val="ListBullet"/>
      </w:pPr>
      <w:r>
        <w:rPr>
          <w:sz w:val="22"/>
        </w:rPr>
        <w:t>Temperature indices: GDD (growing degree days), Huglin Index, mean/max/min temperature by phase</w:t>
      </w:r>
    </w:p>
    <w:p>
      <w:pPr>
        <w:pStyle w:val="ListBullet"/>
      </w:pPr>
      <w:r>
        <w:rPr>
          <w:sz w:val="22"/>
        </w:rPr>
        <w:t>Precipitation: total, frequency, drought indices by phase</w:t>
      </w:r>
    </w:p>
    <w:p>
      <w:pPr>
        <w:pStyle w:val="ListBullet"/>
      </w:pPr>
      <w:r>
        <w:rPr>
          <w:sz w:val="22"/>
        </w:rPr>
        <w:t>Frost events: number of frost days in dormancy and early spring</w:t>
      </w:r>
    </w:p>
    <w:p>
      <w:pPr>
        <w:pStyle w:val="ListBullet"/>
      </w:pPr>
      <w:r>
        <w:rPr>
          <w:sz w:val="22"/>
        </w:rPr>
        <w:t>Phenological timing: estimated phase start/end dates based on cumulative heat sums</w:t>
      </w:r>
    </w:p>
    <w:p>
      <w:pPr>
        <w:pStyle w:val="ListBullet"/>
      </w:pPr>
      <w:r>
        <w:rPr>
          <w:sz w:val="22"/>
        </w:rPr>
        <w:t>Yield component proxies: berry weight, cluster weight estimates from models</w:t>
      </w:r>
    </w:p>
    <w:p>
      <w:pPr>
        <w:pStyle w:val="ListBullet"/>
      </w:pPr>
      <w:r>
        <w:rPr>
          <w:sz w:val="22"/>
        </w:rPr>
        <w:t>Temporal: year (for detrending), lagged production values (added experimentally)</w:t>
      </w:r>
    </w:p>
    <w:p>
      <w:pPr>
        <w:pStyle w:val="Heading2"/>
      </w:pPr>
      <w:r>
        <w:rPr>
          <w:color w:val="1F497D"/>
        </w:rPr>
        <w:t>Detrending</w:t>
      </w:r>
    </w:p>
    <w:p>
      <w:r>
        <w:rPr>
          <w:b w:val="0"/>
          <w:i w:val="0"/>
          <w:sz w:val="22"/>
        </w:rPr>
        <w:t>A linear trend is fitted exclusively on the training data for each scenario using ordinary least squares (OLS): Wine_mhl ~ year. The trend is then removed from the training data (residuals), and the same linear model is applied to the test set to remove the expected trend component. Predictions are made on residuals and the trend is added back before computing error metrics.</w:t>
      </w:r>
    </w:p>
    <w:p>
      <w:r>
        <w:rPr>
          <w:b w:val="0"/>
          <w:i w:val="0"/>
          <w:sz w:val="22"/>
        </w:rPr>
        <w:t>This fold-correct detrending strategy prevents data leakage: the trend is always estimated only from data available at prediction time, respecting temporal causality.</w:t>
      </w:r>
    </w:p>
    <w:p>
      <w:pPr>
        <w:ind w:left="432"/>
        <w:shd w:val="clear" w:color="auto" w:fill="F2F2F2"/>
      </w:pPr>
      <w:r>
        <w:rPr>
          <w:rFonts w:ascii="Courier New" w:hAnsi="Courier New"/>
          <w:sz w:val="18"/>
        </w:rPr>
        <w:t>trend_model   &lt;- lm(Wine_mhl ~ year, data = train_data)</w:t>
        <w:br/>
        <w:t>train_residuals &lt;- residuals(trend_model)</w:t>
        <w:br/>
        <w:t>trend_offsets   &lt;- predict(trend_model, newdata = test_data)</w:t>
      </w:r>
    </w:p>
    <w:p>
      <w:pPr>
        <w:pStyle w:val="Heading2"/>
      </w:pPr>
      <w:r>
        <w:rPr>
          <w:color w:val="1F497D"/>
        </w:rPr>
        <w:t>Discretization</w:t>
      </w:r>
    </w:p>
    <w:p>
      <w:r>
        <w:t xml:space="preserve">Two discretization levels are applied. Feature discretization (meteorological predictors, Script 2, once globally): equal-frequency binning into 3 tertile bins (Low/Medium/High), k-means 2-bin fallback for mass-clustered features. Cut points use the full dataset for descriptive rule mining; for prediction, per-fold supervised variants refit on training data only (see Section 12). Target discretization (Wine_mhl residuals, Script 6, per fold): 4 quartile bins (Q1-Q4) computed on training residuals only — no leakage to test years.</w:t>
      </w:r>
    </w:p>
    <w:p>
      <w:pPr>
        <w:ind w:left="432"/>
        <w:shd w:val="clear" w:color="auto" w:fill="F2F2F2"/>
      </w:pPr>
      <w:r>
        <w:rPr>
          <w:rFonts w:ascii="Courier New" w:hAnsi="Courier New"/>
          <w:sz w:val="18"/>
        </w:rPr>
        <w:t>n_bins     &lt;- 4</w:t>
        <w:br/>
        <w:t>bin_breaks &lt;- quantile(train_residuals, probs = seq(0, 1, length.out = n_bins + 1))</w:t>
        <w:br/>
        <w:t>train_disc &lt;- apply_discretization(train_data, bin_breaks)</w:t>
      </w:r>
    </w:p>
    <w:p/>
    <w:p>
      <w:pPr>
        <w:pStyle w:val="Heading1"/>
      </w:pPr>
      <w:r>
        <w:rPr>
          <w:color w:val="1F497D"/>
        </w:rPr>
        <w:t>3. Walk-Forward (Expanding Window) Scenario Validation</w:t>
      </w:r>
    </w:p>
    <w:p>
      <w:r>
        <w:rPr>
          <w:b w:val="0"/>
          <w:i w:val="0"/>
          <w:sz w:val="22"/>
        </w:rPr>
        <w:t>The evaluation framework uses an expanding-window walk-forward validation. The dataset is split into 16 scenarios. In each scenario s:</w:t>
      </w:r>
    </w:p>
    <w:p>
      <w:pPr>
        <w:pStyle w:val="ListBullet"/>
      </w:pPr>
      <w:r>
        <w:rPr>
          <w:sz w:val="22"/>
        </w:rPr>
        <w:t>Training set: all years from the start up to the split point (minimum 80% of data)</w:t>
      </w:r>
    </w:p>
    <w:p>
      <w:pPr>
        <w:pStyle w:val="ListBullet"/>
      </w:pPr>
      <w:r>
        <w:rPr>
          <w:sz w:val="22"/>
        </w:rPr>
        <w:t>Test set: all years after the split point</w:t>
      </w:r>
    </w:p>
    <w:p>
      <w:pPr>
        <w:pStyle w:val="ListBullet"/>
      </w:pPr>
      <w:r>
        <w:rPr>
          <w:sz w:val="22"/>
        </w:rPr>
        <w:t>A new model is fitted from scratch on each training set</w:t>
      </w:r>
    </w:p>
    <w:p>
      <w:pPr>
        <w:pStyle w:val="ListBullet"/>
      </w:pPr>
      <w:r>
        <w:rPr>
          <w:sz w:val="22"/>
        </w:rPr>
        <w:t>Predictions are made for all test years (may be 1–several years)</w:t>
      </w:r>
    </w:p>
    <w:p>
      <w:r>
        <w:rPr>
          <w:b w:val="0"/>
          <w:i w:val="0"/>
          <w:sz w:val="22"/>
        </w:rPr>
        <w:t>This simulates a realistic operational scenario: at each decision point, we train on all available history and forecast the remaining years. It correctly handles the temporal structure of the data and avoids look-ahead bias.</w:t>
      </w:r>
    </w:p>
    <w:p>
      <w:r>
        <w:rPr>
          <w:b w:val="0"/>
          <w:i w:val="0"/>
          <w:sz w:val="22"/>
        </w:rPr>
        <w:t>Error metrics computed per scenario:</w:t>
      </w:r>
    </w:p>
    <w:p>
      <w:pPr>
        <w:pStyle w:val="ListBullet"/>
      </w:pPr>
      <w:r>
        <w:rPr>
          <w:sz w:val="22"/>
        </w:rPr>
        <w:t>MAE: Mean Absolute Error on original scale (mhl)</w:t>
      </w:r>
    </w:p>
    <w:p>
      <w:pPr>
        <w:pStyle w:val="ListBullet"/>
      </w:pPr>
      <w:r>
        <w:rPr>
          <w:sz w:val="22"/>
        </w:rPr>
        <w:t>R²: Coefficient of determination (excluded from averages when n_test = 1, as R² = -Inf for scalar predictions)</w:t>
      </w:r>
    </w:p>
    <w:p>
      <w:r>
        <w:rPr>
          <w:b w:val="0"/>
          <w:i w:val="0"/>
          <w:sz w:val="22"/>
        </w:rPr>
        <w:t>Summary metrics across scenarios:</w:t>
      </w:r>
    </w:p>
    <w:p>
      <w:pPr>
        <w:pStyle w:val="ListBullet"/>
      </w:pPr>
      <w:r>
        <w:rPr>
          <w:sz w:val="22"/>
        </w:rPr>
        <w:t>Mean MAE: simple average across 16 scenarios</w:t>
      </w:r>
    </w:p>
    <w:p>
      <w:pPr>
        <w:pStyle w:val="ListBullet"/>
      </w:pPr>
      <w:r>
        <w:rPr>
          <w:sz w:val="22"/>
        </w:rPr>
        <w:t>SD MAE: standard deviation of per-scenario MAE (stability metric)</w:t>
      </w:r>
    </w:p>
    <w:p>
      <w:pPr>
        <w:pStyle w:val="ListBullet"/>
      </w:pPr>
      <w:r>
        <w:rPr>
          <w:sz w:val="22"/>
        </w:rPr>
        <w:t>Weighted MAE: Σ(MAE_s × n_test_s) / Σ(n_test_s) — fairer, weights longer test windows more heavily</w:t>
      </w:r>
    </w:p>
    <w:p>
      <w:pPr>
        <w:pStyle w:val="ListBullet"/>
      </w:pPr>
      <w:r>
        <w:rPr>
          <w:sz w:val="22"/>
        </w:rPr>
        <w:t>Mean R²: average excluding degenerate n_test = 1 scenarios</w:t>
      </w:r>
    </w:p>
    <w:p>
      <w:r>
        <w:rPr>
          <w:b w:val="0"/>
          <w:i w:val="0"/>
          <w:sz w:val="22"/>
        </w:rPr>
        <w:t>Key design choice: the weighted MAE is preferred as the primary ranking metric because it correctly accounts for the fact that scenarios with n_test = 1 get the same unweighted influence as scenarios with n_test = 5+, but their MAE is computed from a single data point and is therefore much noisier.</w:t>
      </w:r>
    </w:p>
    <w:p/>
    <w:p>
      <w:pPr>
        <w:pStyle w:val="Heading1"/>
      </w:pPr>
      <w:r>
        <w:rPr>
          <w:color w:val="1F497D"/>
        </w:rPr>
        <w:t>4. Baseline Models</w:t>
      </w:r>
    </w:p>
    <w:p>
      <w:r>
        <w:rPr>
          <w:b w:val="0"/>
          <w:i w:val="0"/>
          <w:sz w:val="22"/>
        </w:rPr>
        <w:t>Three naive baselines are established to provide reference performance benchmarks. All baselines use only the training set, respecting the causal split.</w:t>
      </w:r>
    </w:p>
    <w:p>
      <w:pPr>
        <w:pStyle w:val="Heading2"/>
      </w:pPr>
      <w:r>
        <w:rPr>
          <w:color w:val="1F497D"/>
        </w:rPr>
        <w:t>4.1 Naive_Mean</w:t>
      </w:r>
    </w:p>
    <w:p>
      <w:r>
        <w:rPr>
          <w:b w:val="0"/>
          <w:i w:val="0"/>
          <w:sz w:val="22"/>
        </w:rPr>
        <w:t>Predicts the mean of training residuals for all test years (after detrending). This is the MSE-optimal constant predictor. Equivalent to predicting 'the trend' for each future year — a strong baseline for non-stationary series.</w:t>
      </w:r>
    </w:p>
    <w:p>
      <w:pPr>
        <w:ind w:left="432"/>
        <w:shd w:val="clear" w:color="auto" w:fill="F2F2F2"/>
      </w:pPr>
      <w:r>
        <w:rPr>
          <w:rFonts w:ascii="Courier New" w:hAnsi="Courier New"/>
          <w:sz w:val="18"/>
        </w:rPr>
        <w:t>naive_train_mean &lt;- mean(train_residuals)</w:t>
        <w:br/>
        <w:t>pred_naive       &lt;- naive_train_mean + trend_offsets</w:t>
      </w:r>
    </w:p>
    <w:p>
      <w:pPr>
        <w:pStyle w:val="Heading2"/>
      </w:pPr>
      <w:r>
        <w:rPr>
          <w:color w:val="1F497D"/>
        </w:rPr>
        <w:t>4.2 Naive_Median</w:t>
      </w:r>
    </w:p>
    <w:p>
      <w:r>
        <w:rPr>
          <w:b w:val="0"/>
          <w:i w:val="0"/>
          <w:sz w:val="22"/>
        </w:rPr>
        <w:t>Predicts the median of training residuals for all test years. The MAE-optimal constant predictor. For skewed distributions, the median is more robust than the mean. Added as a separate baseline after early experiments showed that CarenR subgroup predictions using median aggregation were competitive.</w:t>
      </w:r>
    </w:p>
    <w:p>
      <w:pPr>
        <w:ind w:left="432"/>
        <w:shd w:val="clear" w:color="auto" w:fill="F2F2F2"/>
      </w:pPr>
      <w:r>
        <w:rPr>
          <w:rFonts w:ascii="Courier New" w:hAnsi="Courier New"/>
          <w:sz w:val="18"/>
        </w:rPr>
        <w:t>naive_train_median &lt;- median(train_residuals)</w:t>
        <w:br/>
        <w:t>pred_naive_median  &lt;- naive_train_median + trend_offsets</w:t>
      </w:r>
    </w:p>
    <w:p>
      <w:pPr>
        <w:pStyle w:val="Heading2"/>
      </w:pPr>
      <w:r>
        <w:rPr>
          <w:color w:val="1F497D"/>
        </w:rPr>
        <w:t>4.3 Naive_MA (Moving Average)</w:t>
      </w:r>
    </w:p>
    <w:p>
      <w:r>
        <w:rPr>
          <w:b w:val="0"/>
          <w:i w:val="0"/>
          <w:sz w:val="22"/>
        </w:rPr>
        <w:t>Predicts the mean of the last 10 years of training residuals. This is a simple adaptive baseline that responds to recent trend shifts within the residual series. Window size: naive_ma_window = 10.</w:t>
      </w:r>
    </w:p>
    <w:p>
      <w:pPr>
        <w:ind w:left="432"/>
        <w:shd w:val="clear" w:color="auto" w:fill="F2F2F2"/>
      </w:pPr>
      <w:r>
        <w:rPr>
          <w:rFonts w:ascii="Courier New" w:hAnsi="Courier New"/>
          <w:sz w:val="18"/>
        </w:rPr>
        <w:t>ma_vals      &lt;- tail(train_residuals, naive_ma_window)</w:t>
        <w:br/>
        <w:t>pred_naive_ma &lt;- mean(ma_vals) + trend_offsets</w:t>
      </w:r>
    </w:p>
    <w:p>
      <w:pPr>
        <w:pStyle w:val="Heading2"/>
      </w:pPr>
      <w:r>
        <w:rPr>
          <w:color w:val="1F497D"/>
        </w:rPr>
        <w:t>4.4 Decision Tree (DT)</w:t>
      </w:r>
    </w:p>
    <w:p>
      <w:r>
        <w:rPr>
          <w:b w:val="0"/>
          <w:i w:val="0"/>
          <w:sz w:val="22"/>
        </w:rPr>
        <w:t>CART decision tree (rpart) trained on discretized features and target residuals. Provides a standard ML baseline that also has some interpretability. Parameters: default rpart settings, pruned by 1-SE rule on cross-validation.</w:t>
      </w:r>
    </w:p>
    <w:p>
      <w:pPr>
        <w:pStyle w:val="Heading2"/>
      </w:pPr>
      <w:r>
        <w:rPr>
          <w:color w:val="1F497D"/>
        </w:rPr>
        <w:t>4.5 RIPPER</w:t>
      </w:r>
    </w:p>
    <w:p>
      <w:r>
        <w:rPr>
          <w:b w:val="0"/>
          <w:i w:val="0"/>
          <w:sz w:val="22"/>
        </w:rPr>
        <w:t>JRip (RIPPER) rule learner from the RWeka package. Trained on 4-bin discretized target using the same feature set as CarenR. The RIPPER pipeline was aligned to use Q1–Q4 quartile bins consistently with CarenR. Rules are extracted and mapped to bin training means/medians via apply_bin_stats.</w:t>
      </w:r>
    </w:p>
    <w:p>
      <w:pPr>
        <w:pStyle w:val="Heading2"/>
      </w:pPr>
      <w:r>
        <w:rPr>
          <w:color w:val="1F497D"/>
        </w:rPr>
        <w:t>4.6 M5Rules</w:t>
      </w:r>
    </w:p>
    <w:p>
      <w:r>
        <w:rPr>
          <w:b w:val="0"/>
          <w:i w:val="0"/>
          <w:sz w:val="22"/>
        </w:rPr>
        <w:t>M5Rules rule learner (Quinlan 1992) trained on continuous target residuals. M5Rules builds linear models at the leaves — a hybrid rule/regression approach. Provides a strong non-naive ML baseline.</w:t>
      </w:r>
    </w:p>
    <w:p/>
    <w:p>
      <w:pPr>
        <w:pStyle w:val="Heading1"/>
      </w:pPr>
      <w:r>
        <w:rPr>
          <w:color w:val="1F497D"/>
        </w:rPr>
        <w:t>5. Rule-Based Model Variants — Chronological Development</w:t>
      </w:r>
    </w:p>
    <w:p>
      <w:r>
        <w:rPr>
          <w:b w:val="0"/>
          <w:i w:val="0"/>
          <w:sz w:val="22"/>
        </w:rPr>
        <w:t>All CarenR variants use the CAREN Java engine via the carenR R package. The core mechanism: CAREN mines subgroup discovery rules of the form "IF condition(s) THEN target_distribution". Each rule describes how the distribution of the target variable differs in the subgroup defined by the condition from the overall population.</w:t>
      </w:r>
    </w:p>
    <w:p>
      <w:r>
        <w:rPr>
          <w:b w:val="0"/>
          <w:i w:val="0"/>
          <w:sz w:val="22"/>
        </w:rPr>
        <w:t>The predict_carenr_dist function applies rules to test observations and aggregates matching rules' training-set statistics into a single point prediction. The key aggregation strategies are:</w:t>
      </w:r>
    </w:p>
    <w:p>
      <w:pPr>
        <w:pStyle w:val="ListBullet"/>
      </w:pPr>
      <w:r>
        <w:rPr>
          <w:sz w:val="22"/>
        </w:rPr>
        <w:t>Strategy A (first): use the highest-quality matching rule only</w:t>
      </w:r>
    </w:p>
    <w:p>
      <w:pPr>
        <w:pStyle w:val="ListBullet"/>
      </w:pPr>
      <w:r>
        <w:rPr>
          <w:sz w:val="22"/>
        </w:rPr>
        <w:t>Strategy B (average): unweighted mean of all matching rules</w:t>
      </w:r>
    </w:p>
    <w:p>
      <w:pPr>
        <w:pStyle w:val="ListBullet"/>
      </w:pPr>
      <w:r>
        <w:rPr>
          <w:sz w:val="22"/>
        </w:rPr>
        <w:t>Strategy C (support-weighted): weight each rule by its support (coverage fraction)</w:t>
      </w:r>
    </w:p>
    <w:p>
      <w:pPr>
        <w:pStyle w:val="ListBullet"/>
      </w:pPr>
      <w:r>
        <w:rPr>
          <w:sz w:val="22"/>
        </w:rPr>
        <w:t>Strategy D (confidence-weighted): weight by -log(p-value) — trusts statistically precise rules more</w:t>
      </w:r>
    </w:p>
    <w:p>
      <w:r>
        <w:rPr>
          <w:b w:val="0"/>
          <w:i w:val="0"/>
          <w:sz w:val="22"/>
        </w:rPr>
        <w:t>For each matching rule, the subgroup statistic is computed as either mean or median of training observations in that subgroup, controlled by the carenr_agg_fn config parameter.</w:t>
      </w:r>
    </w:p>
    <w:p>
      <w:r>
        <w:rPr>
          <w:b/>
          <w:i w:val="0"/>
          <w:sz w:val="22"/>
        </w:rPr>
        <w:t>Fallback behaviour:</w:t>
      </w:r>
    </w:p>
    <w:p>
      <w:r>
        <w:rPr>
          <w:b w:val="0"/>
          <w:i w:val="0"/>
          <w:sz w:val="22"/>
        </w:rPr>
        <w:t>If no rules match a test observation, or if CAREN returns zero rules for a scenario, the prediction falls back to the training-set median (or mean, per carenr_agg_fn). This ensures robustness across all 16 scenarios.</w:t>
      </w:r>
    </w:p>
    <w:p>
      <w:pPr>
        <w:pStyle w:val="Heading2"/>
      </w:pPr>
      <w:r>
        <w:rPr>
          <w:color w:val="1F497D"/>
        </w:rPr>
        <w:t>5.1 CarenR_Dist — Core Distribution Rule Model</w:t>
      </w:r>
    </w:p>
    <w:p>
      <w:r>
        <w:rPr>
          <w:b w:val="0"/>
          <w:i w:val="0"/>
          <w:sz w:val="22"/>
        </w:rPr>
        <w:t>The foundational CarenR variant. Uses Kolmogorov-Smirnov (KS) tests to identify subgroups where the target distribution differs significantly from the global distribution (Dist = TRUE in CAREN). This produces distribution rules rather than mean-shift rules.</w:t>
      </w:r>
    </w:p>
    <w:p>
      <w:r>
        <w:rPr>
          <w:b/>
          <w:i w:val="0"/>
          <w:sz w:val="22"/>
        </w:rPr>
        <w:t>Configuration:</w:t>
      </w:r>
    </w:p>
    <w:p>
      <w:pPr>
        <w:ind w:left="432"/>
        <w:shd w:val="clear" w:color="auto" w:fill="F2F2F2"/>
      </w:pPr>
      <w:r>
        <w:rPr>
          <w:rFonts w:ascii="Courier New" w:hAnsi="Courier New"/>
          <w:sz w:val="18"/>
        </w:rPr>
        <w:t>min.sup  = 0.2   # minimum support (20% of training cases)</w:t>
        <w:br/>
        <w:t>min.conf = 0.1   # minimum confidence</w:t>
        <w:br/>
        <w:t>Dist     = TRUE  # use KS-based distribution rules</w:t>
        <w:br/>
        <w:t>strategy = 'C'   # support-weighted aggregation</w:t>
        <w:br/>
        <w:t>carenr_agg_fn = 'median'  # subgroup aggregation function</w:t>
      </w:r>
    </w:p>
    <w:p>
      <w:r>
        <w:rPr>
          <w:b/>
          <w:i w:val="0"/>
          <w:sz w:val="22"/>
        </w:rPr>
        <w:t>Feature input:</w:t>
      </w:r>
    </w:p>
    <w:p>
      <w:r>
        <w:rPr>
          <w:b w:val="0"/>
          <w:i w:val="0"/>
          <w:sz w:val="22"/>
        </w:rPr>
        <w:t>All available discretized features, including meteorological indices. No feature selection — CAREN is given the full feature space and selects conditions internally based on subgroup quality measures.</w:t>
      </w:r>
    </w:p>
    <w:p>
      <w:r>
        <w:rPr>
          <w:b/>
          <w:i w:val="0"/>
          <w:sz w:val="22"/>
        </w:rPr>
        <w:t>Prediction pipeline:</w:t>
      </w:r>
    </w:p>
    <w:p>
      <w:pPr>
        <w:pStyle w:val="ListNumber"/>
      </w:pPr>
      <w:r>
        <w:rPr>
          <w:sz w:val="22"/>
        </w:rPr>
        <w:t>Parse rules from CAREN output into R closure functions (one per rule condition set)</w:t>
      </w:r>
    </w:p>
    <w:p>
      <w:pPr>
        <w:pStyle w:val="ListNumber"/>
      </w:pPr>
      <w:r>
        <w:rPr>
          <w:sz w:val="22"/>
        </w:rPr>
        <w:t>For each test observation, evaluate all rule closures to find matching rules</w:t>
      </w:r>
    </w:p>
    <w:p>
      <w:pPr>
        <w:pStyle w:val="ListNumber"/>
      </w:pPr>
      <w:r>
        <w:rPr>
          <w:sz w:val="22"/>
        </w:rPr>
        <w:t>For each matching rule, compute the subgroup statistic: median (or mean) of training observations in that subgroup</w:t>
      </w:r>
    </w:p>
    <w:p>
      <w:pPr>
        <w:pStyle w:val="ListNumber"/>
      </w:pPr>
      <w:r>
        <w:rPr>
          <w:sz w:val="22"/>
        </w:rPr>
        <w:t>Aggregate matching rules using strategy C (support-weighted combination)</w:t>
      </w:r>
    </w:p>
    <w:p>
      <w:pPr>
        <w:pStyle w:val="ListNumber"/>
      </w:pPr>
      <w:r>
        <w:rPr>
          <w:sz w:val="22"/>
        </w:rPr>
        <w:t>Add back the trend offset to get prediction on original scale</w:t>
      </w:r>
    </w:p>
    <w:p>
      <w:r>
        <w:rPr>
          <w:b w:val="0"/>
          <w:i w:val="0"/>
          <w:sz w:val="22"/>
        </w:rPr>
        <w:t>Continuous boundaries: CAREN's interval format [lower|upper) is parsed with make_caren_intervals to create boundaries compatible with continuous test values. This was a critical fix — early versions used string matching on discretized test values, which lost precision.</w:t>
      </w:r>
    </w:p>
    <w:p>
      <w:pPr>
        <w:pStyle w:val="Heading2"/>
      </w:pPr>
      <w:r>
        <w:rPr>
          <w:color w:val="1F497D"/>
        </w:rPr>
        <w:t>5.2 Feature Selection Variants</w:t>
      </w:r>
    </w:p>
    <w:p>
      <w:r>
        <w:rPr>
          <w:b w:val="0"/>
          <w:i w:val="0"/>
          <w:sz w:val="22"/>
        </w:rPr>
        <w:t>Three feature selection strategies were developed to reduce the dimensionality of the feature space before passing to CAREN. Motivation: with many weakly-relevant features, CAREN may find spurious rules. Selecting a top-N subset focuses rule mining on the most predictive features.</w:t>
      </w:r>
    </w:p>
    <w:p>
      <w:pPr>
        <w:pStyle w:val="Heading3"/>
      </w:pPr>
      <w:r>
        <w:rPr>
          <w:color w:val="1F497D"/>
        </w:rPr>
        <w:t>CarenR_Dist_FS — Pearson |r| Top-N</w:t>
      </w:r>
    </w:p>
    <w:p>
      <w:r>
        <w:rPr>
          <w:b w:val="0"/>
          <w:i w:val="0"/>
          <w:sz w:val="22"/>
        </w:rPr>
        <w:t>Select the top carenr_n_features = 15 features by absolute Pearson correlation with the training target residuals. Simple, fast, and interpretable.</w:t>
      </w:r>
    </w:p>
    <w:p>
      <w:pPr>
        <w:ind w:left="432"/>
        <w:shd w:val="clear" w:color="auto" w:fill="F2F2F2"/>
      </w:pPr>
      <w:r>
        <w:rPr>
          <w:rFonts w:ascii="Courier New" w:hAnsi="Courier New"/>
          <w:sz w:val="18"/>
        </w:rPr>
        <w:t>feat_cors  &lt;- cor(train_cont[feat_cols], train_residuals, use='pairwise')</w:t>
        <w:br/>
        <w:t>top_feats  &lt;- names(sort(abs(feat_cors), decreasing=TRUE))[seq_len(carenr_n_features)]</w:t>
      </w:r>
    </w:p>
    <w:p>
      <w:pPr>
        <w:pStyle w:val="Heading3"/>
      </w:pPr>
      <w:r>
        <w:rPr>
          <w:color w:val="1F497D"/>
        </w:rPr>
        <w:t>CarenR_Dist_Thresh — Pearson |r| Threshold</w:t>
      </w:r>
    </w:p>
    <w:p>
      <w:r>
        <w:rPr>
          <w:b w:val="0"/>
          <w:i w:val="0"/>
          <w:sz w:val="22"/>
        </w:rPr>
        <w:t>Select all features with |r| &gt; carenr_cor_thresh = 0.30. The threshold adapts the selected feature count to the actual signal in the data — some scenarios may select more or fewer than 15 features.</w:t>
      </w:r>
    </w:p>
    <w:p>
      <w:pPr>
        <w:pStyle w:val="Heading3"/>
      </w:pPr>
      <w:r>
        <w:rPr>
          <w:color w:val="1F497D"/>
        </w:rPr>
        <w:t>CarenR_Dist_Eta2 — ANOVA eta-squared (η²)</w:t>
      </w:r>
    </w:p>
    <w:p>
      <w:r>
        <w:rPr>
          <w:b w:val="0"/>
          <w:i w:val="0"/>
          <w:sz w:val="22"/>
        </w:rPr>
        <w:t>Select top-N features by η² (eta-squared from one-way ANOVA), which measures the proportion of variance in the target explained by the discretized bins of each feature. η² = SS_between / SS_total.</w:t>
      </w:r>
    </w:p>
    <w:p>
      <w:r>
        <w:rPr>
          <w:b w:val="0"/>
          <w:i w:val="0"/>
          <w:sz w:val="22"/>
        </w:rPr>
        <w:t>Motivation: Pearson r measures linear association with the continuous feature values, but after discretization into bins, what matters is how well the bin membership explains the target variance — exactly what η² measures. It is non-parametric w.r.t. the within-bin distribution and captures non-linear monotone relationships.</w:t>
      </w:r>
    </w:p>
    <w:p>
      <w:pPr>
        <w:ind w:left="432"/>
        <w:shd w:val="clear" w:color="auto" w:fill="F2F2F2"/>
      </w:pPr>
      <w:r>
        <w:rPr>
          <w:rFonts w:ascii="Courier New" w:hAnsi="Courier New"/>
          <w:sz w:val="18"/>
        </w:rPr>
        <w:t>compute_eta2 &lt;- function(bins_vec, target) {</w:t>
        <w:br/>
        <w:t xml:space="preserve">  bins_fac &lt;- factor(as.character(bins_vec))</w:t>
        <w:br/>
        <w:t xml:space="preserve">  if (nlevels(bins_fac) &lt; 2 || all(is.na(target))) return(NA_real_)</w:t>
        <w:br/>
        <w:t xml:space="preserve">  fit  &lt;- aov(target ~ bins_fac)</w:t>
        <w:br/>
        <w:t xml:space="preserve">  s    &lt;- summary(fit)[[1]]</w:t>
        <w:br/>
        <w:t xml:space="preserve">  ss_b &lt;- s['bins_fac', 'Sum Sq']</w:t>
        <w:br/>
        <w:t xml:space="preserve">  ss_t &lt;- sum(s[, 'Sum Sq'])</w:t>
        <w:br/>
        <w:t xml:space="preserve">  if (ss_t == 0) return(0)</w:t>
        <w:br/>
        <w:t xml:space="preserve">  ss_b / ss_t</w:t>
        <w:br/>
        <w:t>}</w:t>
      </w:r>
    </w:p>
    <w:p>
      <w:r>
        <w:rPr>
          <w:b w:val="0"/>
          <w:i w:val="0"/>
          <w:sz w:val="22"/>
        </w:rPr>
        <w:t>Conclusion: η² and Pearson r select largely overlapping sets in this dataset. The practical performance difference is minimal, confirming that any reasonable feature selection (vs. none) provides the main benefit.</w:t>
      </w:r>
    </w:p>
    <w:p>
      <w:pPr>
        <w:pStyle w:val="Heading2"/>
      </w:pPr>
      <w:r>
        <w:rPr>
          <w:color w:val="1F497D"/>
        </w:rPr>
        <w:t>5.3 Support Threshold Variants</w:t>
      </w:r>
    </w:p>
    <w:p>
      <w:pPr>
        <w:pStyle w:val="Heading3"/>
      </w:pPr>
      <w:r>
        <w:rPr>
          <w:color w:val="1F497D"/>
        </w:rPr>
        <w:t>CarenR_Dist_Sup — Higher Minimum Support</w:t>
      </w:r>
    </w:p>
    <w:p>
      <w:r>
        <w:rPr>
          <w:b w:val="0"/>
          <w:i w:val="0"/>
          <w:sz w:val="22"/>
        </w:rPr>
        <w:t>Same as CarenR_Dist but with min.sup = 0.3 (vs 0.2). Higher support forces rules to cover at least 30% of training cases, producing more general but potentially less specific rules. Tested to find the support sweet spot.</w:t>
      </w:r>
    </w:p>
    <w:p>
      <w:pPr>
        <w:pStyle w:val="Heading3"/>
      </w:pPr>
      <w:r>
        <w:rPr>
          <w:color w:val="1F497D"/>
        </w:rPr>
        <w:t>CarenR_Dist_Sup_Thresh — Higher Support + Threshold Feature Selection</w:t>
      </w:r>
    </w:p>
    <w:p>
      <w:r>
        <w:rPr>
          <w:b w:val="0"/>
          <w:i w:val="0"/>
          <w:sz w:val="22"/>
        </w:rPr>
        <w:t>Combines min.sup = 0.3 with Pearson |r| &gt; 0.30 feature selection. This is the best-performing CarenR variant on weighted MAE (171.6 mhl). The combination of higher support and feature filtering produces more robust rules that generalise better across scenarios.</w:t>
      </w:r>
    </w:p>
    <w:p>
      <w:pPr>
        <w:pStyle w:val="Heading2"/>
      </w:pPr>
      <w:r>
        <w:rPr>
          <w:color w:val="1F497D"/>
        </w:rPr>
        <w:t>5.4 CarenR_Dist_Lag — ACF-Based Lag Features</w:t>
      </w:r>
    </w:p>
    <w:p>
      <w:r>
        <w:rPr>
          <w:b w:val="0"/>
          <w:i w:val="0"/>
          <w:sz w:val="22"/>
        </w:rPr>
        <w:t>Extends CarenR_Dist_Sup_Thresh with lagged production values as additional features. The lag order is selected automatically using the autocorrelation function (ACF) of the training residuals, rather than using a fixed lag.</w:t>
      </w:r>
    </w:p>
    <w:p>
      <w:r>
        <w:rPr>
          <w:b/>
          <w:i w:val="0"/>
          <w:sz w:val="22"/>
        </w:rPr>
        <w:t>ACF-based lag selection:</w:t>
      </w:r>
    </w:p>
    <w:p>
      <w:pPr>
        <w:ind w:left="432"/>
        <w:shd w:val="clear" w:color="auto" w:fill="F2F2F2"/>
      </w:pPr>
      <w:r>
        <w:rPr>
          <w:rFonts w:ascii="Courier New" w:hAnsi="Courier New"/>
          <w:sz w:val="18"/>
        </w:rPr>
        <w:t>acf_vals   &lt;- acf(train_residuals, lag.max = carenr_lag_max, plot = FALSE)$acf[-1]</w:t>
        <w:br/>
        <w:t>acf_thresh &lt;- 2 / sqrt(n_train)   # standard 95% significance bound</w:t>
        <w:br/>
        <w:t>sig_lags   &lt;- which(abs(acf_vals) &gt; acf_thresh)</w:t>
        <w:br/>
        <w:t>if (length(sig_lags) == 0) sig_lags &lt;- 1L   # default to lag-1 if none significant</w:t>
      </w:r>
    </w:p>
    <w:p>
      <w:r>
        <w:rPr>
          <w:b w:val="0"/>
          <w:i w:val="0"/>
          <w:sz w:val="22"/>
        </w:rPr>
        <w:t>Result: ACF consistently selects lags 3 and 5 (not lag 1) in 14 of 16 scenarios. This reveals a genuine 3- and 5-year autocorrelation structure in wine production residuals — possibly linked to vine replanting cycles (3–5 years to full production after new planting).</w:t>
      </w:r>
    </w:p>
    <w:p>
      <w:r>
        <w:rPr>
          <w:b w:val="0"/>
          <w:i w:val="0"/>
          <w:sz w:val="22"/>
        </w:rPr>
        <w:t>Lag features are discretized using make_caren_intervals before being added to the CAREN feature matrix. The lagged values are looked up from a pre-computed dictionary all_res_lookup[year] = residual_value.</w:t>
      </w:r>
    </w:p>
    <w:p>
      <w:r>
        <w:rPr>
          <w:b/>
          <w:i w:val="0"/>
          <w:sz w:val="22"/>
        </w:rPr>
        <w:t>Key finding:</w:t>
      </w:r>
    </w:p>
    <w:p>
      <w:r>
        <w:rPr>
          <w:b w:val="0"/>
          <w:i w:val="0"/>
          <w:sz w:val="22"/>
        </w:rPr>
        <w:t>CarenR_Dist_Lag produces identical predictions to Naive_Median for all 16 scenarios in initial testing. Root cause: using min.sup = 0.3 (carenr_min_sup_hi) with the expanded feature space (adding lag features increases dimensionality) causes CAREN to find zero valid rules in every scenario. Zero rules → always falls back to training median → identical to Naive_Median.</w:t>
      </w:r>
    </w:p>
    <w:p>
      <w:r>
        <w:rPr>
          <w:b w:val="0"/>
          <w:i w:val="0"/>
          <w:sz w:val="22"/>
        </w:rPr>
        <w:t>Fix: changed to min.sup = 0.2 (carenr_min_sup). After the fix, CAREN finds some rules in some scenarios. However, the overall MAE (mean 185.6 mhl) is worse than CarenR_Dist_Sup_Thresh (171.6 mhl weighted). This is expected: adding lag features increases dimensionality, which makes rule mining harder, while the ACF of ~0.26 at lags 3/5 is too weak to provide useful predictive lift.</w:t>
      </w:r>
    </w:p>
    <w:p>
      <w:r>
        <w:rPr>
          <w:b w:val="0"/>
          <w:i w:val="0"/>
          <w:sz w:val="22"/>
        </w:rPr>
        <w:t>The model is retained as an experimental result. It confirms that: (1) production autocorrelation exists but is weak, (2) incorporating temporal memory via rule mining does not improve over a simpler baseline, (3) the ACF lag selection is technically correct and informative for understanding the series structure.</w:t>
      </w:r>
    </w:p>
    <w:p>
      <w:pPr>
        <w:pStyle w:val="Heading2"/>
      </w:pPr>
      <w:r>
        <w:rPr>
          <w:color w:val="1F497D"/>
        </w:rPr>
        <w:t>5.5 CarenR_Dist_Conf — Confidence-Weighted Rules</w:t>
      </w:r>
    </w:p>
    <w:p>
      <w:r>
        <w:rPr>
          <w:b w:val="0"/>
          <w:i w:val="0"/>
          <w:sz w:val="22"/>
        </w:rPr>
        <w:t>Uses the same rules as CarenR_Dist_Sup_Thresh (min.sup = 0.3, Pearson threshold feature selection) but replaces support-weighted aggregation (strategy C) with confidence-weighted aggregation (strategy D).</w:t>
      </w:r>
    </w:p>
    <w:p>
      <w:r>
        <w:rPr>
          <w:b/>
          <w:i w:val="0"/>
          <w:sz w:val="22"/>
        </w:rPr>
        <w:t>Confidence weights definition:</w:t>
      </w:r>
    </w:p>
    <w:p>
      <w:pPr>
        <w:ind w:left="432"/>
        <w:shd w:val="clear" w:color="auto" w:fill="F2F2F2"/>
      </w:pPr>
      <w:r>
        <w:rPr>
          <w:rFonts w:ascii="Courier New" w:hAnsi="Courier New"/>
          <w:sz w:val="18"/>
        </w:rPr>
        <w:t># Weight proportional to -log(p-value) from KS test</w:t>
        <w:br/>
        <w:t># Higher weight → more statistically significant distribution difference</w:t>
        <w:br/>
        <w:t>conf_weights &lt;- -log(pmax(as.numeric(rules_df$pvalue), 1e-300))</w:t>
      </w:r>
    </w:p>
    <w:p>
      <w:r>
        <w:rPr>
          <w:b w:val="0"/>
          <w:i w:val="0"/>
          <w:sz w:val="22"/>
        </w:rPr>
        <w:t>Motivation: rules with very small p-values (highly significant KS test) indicate that the subgroup's distribution is genuinely different from the global distribution. These rules should be trusted more than rules with moderate p-values that might be marginally significant.</w:t>
      </w:r>
    </w:p>
    <w:p>
      <w:r>
        <w:rPr>
          <w:b/>
          <w:i w:val="0"/>
          <w:sz w:val="22"/>
        </w:rPr>
        <w:t>Implementation:</w:t>
      </w:r>
    </w:p>
    <w:p>
      <w:r>
        <w:rPr>
          <w:b w:val="0"/>
          <w:i w:val="0"/>
          <w:sz w:val="22"/>
        </w:rPr>
        <w:t>Strategy D shares the same weighted combination formula as strategy C: Σ(pred_k × w_k) / Σ(w_k). The difference is only in how w_k is defined — support (coverage fraction) vs. -log(p-value).</w:t>
      </w:r>
    </w:p>
    <w:p>
      <w:r>
        <w:rPr>
          <w:b/>
          <w:i w:val="0"/>
          <w:sz w:val="22"/>
        </w:rPr>
        <w:t>Error handling:</w:t>
      </w:r>
    </w:p>
    <w:p>
      <w:r>
        <w:rPr>
          <w:b w:val="0"/>
          <w:i w:val="0"/>
          <w:sz w:val="22"/>
        </w:rPr>
        <w:t>CarenR_Dist_Conf failed on 7/16 scenarios in initial testing. Root cause: predict_carenr_dist contained a stop() call inside tryCatch when parsed_st had no rules. Fix: replaced stop() with a graceful fallback — empty rule_fns list triggers the existing fallback to training median. After the fix, all 16 scenarios run successfully.</w:t>
      </w:r>
    </w:p>
    <w:p>
      <w:r>
        <w:rPr>
          <w:b w:val="0"/>
          <w:i w:val="0"/>
          <w:sz w:val="22"/>
        </w:rPr>
        <w:t>Result: Mean MAE 174.1 mhl (weighted 172.0 mhl), very close to CarenR_Dist_Sup_Thresh (171.6 mhl). Confidence weighting provides marginal improvement over support weighting in some scenarios but not enough to be conclusive. Both strategies perform similarly.</w:t>
      </w:r>
    </w:p>
    <w:p>
      <w:pPr>
        <w:pStyle w:val="Heading2"/>
      </w:pPr>
      <w:r>
        <w:rPr>
          <w:color w:val="1F497D"/>
        </w:rPr>
        <w:t>5.6 CarenR_Dist_Stack — Two-Stage Stacked Model</w:t>
      </w:r>
    </w:p>
    <w:p>
      <w:r>
        <w:rPr>
          <w:b w:val="0"/>
          <w:i w:val="0"/>
          <w:sz w:val="22"/>
        </w:rPr>
        <w:t>The most sophisticated CarenR variant. Combines CarenR rule predictions with lag-based regression in a two-stage stacking architecture.</w:t>
      </w:r>
    </w:p>
    <w:p>
      <w:r>
        <w:rPr>
          <w:b/>
          <w:i w:val="0"/>
          <w:sz w:val="22"/>
        </w:rPr>
        <w:t>Stage 1 — In-sample CarenR predictions:</w:t>
      </w:r>
    </w:p>
    <w:p>
      <w:r>
        <w:rPr>
          <w:b w:val="0"/>
          <w:i w:val="0"/>
          <w:sz w:val="22"/>
        </w:rPr>
        <w:t>For each training observation i, compute what CarenR_Dist_Sup_Thresh would predict if that observation were held out. This creates a training set for the meta-learner where each row has: (caren_pred_i, lag3_i, lag5_i, target_i).</w:t>
      </w:r>
    </w:p>
    <w:p>
      <w:pPr>
        <w:ind w:left="432"/>
        <w:shd w:val="clear" w:color="auto" w:fill="F2F2F2"/>
      </w:pPr>
      <w:r>
        <w:rPr>
          <w:rFonts w:ascii="Courier New" w:hAnsi="Courier New"/>
          <w:sz w:val="18"/>
        </w:rPr>
        <w:t>caren_train_pred &lt;- sapply(seq_len(n_train), function(i) {</w:t>
        <w:br/>
        <w:t xml:space="preserve">  obs_i &lt;- train_cont[i, , drop=FALSE]; obs_i$Wine_mhl &lt;- 0</w:t>
        <w:br/>
        <w:t xml:space="preserve">  predict_carenr_dist(obs_i, train_for_st[-i, ], rule_fns_st,</w:t>
        <w:br/>
        <w:t xml:space="preserve">                      carenr_strategy, carenr_min_subgroup,</w:t>
        <w:br/>
        <w:t xml:space="preserve">                      agg_fn = subgroup_agg)</w:t>
        <w:br/>
        <w:t>})</w:t>
      </w:r>
    </w:p>
    <w:p>
      <w:r>
        <w:rPr>
          <w:b/>
          <w:i w:val="0"/>
          <w:sz w:val="22"/>
        </w:rPr>
        <w:t>Stage 2 — Meta-learner (linear regression):</w:t>
      </w:r>
    </w:p>
    <w:p>
      <w:r>
        <w:rPr>
          <w:b w:val="0"/>
          <w:i w:val="0"/>
          <w:sz w:val="22"/>
        </w:rPr>
        <w:t>Fit an OLS regression: target ~ caren_pred + lag3 + lag5. The meta-learner learns how to combine the CarenR rule signal with the recent production history.</w:t>
      </w:r>
    </w:p>
    <w:p>
      <w:pPr>
        <w:ind w:left="432"/>
        <w:shd w:val="clear" w:color="auto" w:fill="F2F2F2"/>
      </w:pPr>
      <w:r>
        <w:rPr>
          <w:rFonts w:ascii="Courier New" w:hAnsi="Courier New"/>
          <w:sz w:val="18"/>
        </w:rPr>
        <w:t>caren_has_signal &lt;- sd(stack_train$caren, na.rm=TRUE) &gt; 1e-6</w:t>
        <w:br/>
        <w:t>stack_formula    &lt;- if (caren_has_signal) y ~ . else y ~ . - caren</w:t>
        <w:br/>
        <w:t>stack_lm         &lt;- lm(stack_formula, data = stack_train)</w:t>
      </w:r>
    </w:p>
    <w:p>
      <w:r>
        <w:rPr>
          <w:b w:val="0"/>
          <w:i w:val="0"/>
          <w:sz w:val="22"/>
        </w:rPr>
        <w:t>Singularity check: when Sup_Thresh finds no rules, all caren_train_pred values equal the training median (constant → zero variance → singular matrix). The caren_has_signal check detects this and drops the caren term from the formula.</w:t>
      </w:r>
    </w:p>
    <w:p>
      <w:r>
        <w:rPr>
          <w:b/>
          <w:i w:val="0"/>
          <w:sz w:val="22"/>
        </w:rPr>
        <w:t>Stage 3 — Test prediction:</w:t>
      </w:r>
    </w:p>
    <w:p>
      <w:pPr>
        <w:ind w:left="432"/>
        <w:shd w:val="clear" w:color="auto" w:fill="F2F2F2"/>
      </w:pPr>
      <w:r>
        <w:rPr>
          <w:rFonts w:ascii="Courier New" w:hAnsi="Courier New"/>
          <w:sz w:val="18"/>
        </w:rPr>
        <w:t>stack_pred &lt;- predict(stack_lm, newdata = stack_test)</w:t>
        <w:br/>
        <w:t>na_idx     &lt;- is.na(stack_pred)</w:t>
        <w:br/>
        <w:t>if (any(na_idx)) stack_pred[na_idx] &lt;- caren_test_pred[na_idx]</w:t>
      </w:r>
    </w:p>
    <w:p>
      <w:r>
        <w:rPr>
          <w:b/>
          <w:i w:val="0"/>
          <w:sz w:val="22"/>
        </w:rPr>
        <w:t>Technical bug and fix:</w:t>
      </w:r>
    </w:p>
    <w:p>
      <w:r>
        <w:rPr>
          <w:b w:val="0"/>
          <w:i w:val="0"/>
          <w:sz w:val="22"/>
        </w:rPr>
        <w:t>Scenario 16 (n_test = 1) failed with: 'attempt to set colnames on an object with less than two dimensions'. Root cause: sapply() with a single lag returned a named vector instead of a matrix. Fix: replaced sapply with do.call(cbind, lapply(...)) with explicit matrix reshaping for both training and test lag matrices.</w:t>
      </w:r>
    </w:p>
    <w:p>
      <w:r>
        <w:rPr>
          <w:b/>
          <w:i w:val="0"/>
          <w:sz w:val="22"/>
        </w:rPr>
        <w:t>Results and interpretation:</w:t>
      </w:r>
    </w:p>
    <w:p>
      <w:r>
        <w:rPr>
          <w:b w:val="0"/>
          <w:i w:val="0"/>
          <w:sz w:val="22"/>
        </w:rPr>
        <w:t>CarenR_Dist_Stack achieves mean R² of 0.27 (best among all CarenR variants), confirming that the combination of rules and lag regression captures more variance. However, the mean MAE (177.1 mhl) and weighted MAE (196.2 mhl) are worse than CarenR_Dist_Sup_Thresh. The model is more explanatory but less stable.</w:t>
      </w:r>
    </w:p>
    <w:p>
      <w:r>
        <w:rPr>
          <w:b w:val="0"/>
          <w:i w:val="0"/>
          <w:sz w:val="22"/>
        </w:rPr>
        <w:t>The stack model is the most interpretable result: it shows that (1) the CarenR rules provide some predictive signal beyond the lag baseline, (2) lag-3 and lag-5 production contribute meaningfully to the meta-learner, and (3) the combination explains ~27% of variance in held-out test scenarios.</w:t>
      </w:r>
    </w:p>
    <w:p/>
    <w:p>
      <w:pPr/>
      <w:r>
        <w:rPr>
          <w:sz w:val="22"/>
        </w:rPr>
        <w:t>Result: Under linear detrending, identical weighted MAE (171.6 mhl) to CarenR_Dist_Sup_Thresh. Under LOESS, also falls back to the training median in all 136 predictions — confirms feature selection was not the bottleneck.</w:t>
      </w:r>
    </w:p>
    <w:p>
      <w:pPr/>
      <w:r>
        <w:rPr>
          <w:sz w:val="22"/>
        </w:rPr>
        <w:t>Introduced alongside the LOESS investigation as a LOESS-compatible alternative to CarenR_Dist_Sup_Thresh. Replaces the |r| &gt; 0.30 threshold filter with fixed top-N=15 selection, avoiding feature-set collapse. min.sup=0.3.</w:t>
      </w:r>
    </w:p>
    <w:p>
      <w:pPr>
        <w:pStyle w:val="Heading2"/>
      </w:pPr>
      <w:r>
        <w:rPr>
          <w:color w:val="1F497D"/>
          <w:sz w:val="22"/>
        </w:rPr>
        <w:t>5.7 CarenR_Dist_Sup_FS — Fixed Top-N Features + Higher Support</w:t>
      </w:r>
    </w:p>
    <w:p>
      <w:pPr>
        <w:pStyle w:val="Heading1"/>
      </w:pPr>
      <w:r>
        <w:rPr>
          <w:color w:val="1F497D"/>
        </w:rPr>
        <w:t>6. Key Technical Decisions and Design Choices</w:t>
      </w:r>
    </w:p>
    <w:p>
      <w:r>
        <w:rPr>
          <w:b/>
          <w:sz w:val="22"/>
        </w:rPr>
        <w:t xml:space="preserve">Fold-correct detrending: </w:t>
      </w:r>
      <w:r>
        <w:rPr>
          <w:sz w:val="22"/>
        </w:rPr>
        <w:t>Linear trend fitted exclusively on training data for each scenario. Applied to test. Prevents data leakage — the trend estimate is always based only on information available at prediction time. This is critical for unbiased evaluation.</w:t>
      </w:r>
    </w:p>
    <w:p>
      <w:r>
        <w:rPr>
          <w:b/>
          <w:sz w:val="22"/>
        </w:rPr>
        <w:t xml:space="preserve">Quartile discretization with n_bins = 4 (Q1–Q4): </w:t>
      </w:r>
      <w:r>
        <w:rPr>
          <w:sz w:val="22"/>
        </w:rPr>
        <w:t>Four equal-frequency bins were chosen as a compromise between granularity (more bins = more specific rules) and coverage (fewer bins = more observations per bin). Bin breaks from training only. Labels: Q1 (lowest), Q2, Q3, Q4 (highest).</w:t>
      </w:r>
    </w:p>
    <w:p>
      <w:r>
        <w:rPr>
          <w:b/>
          <w:sz w:val="22"/>
        </w:rPr>
        <w:t xml:space="preserve">Weighted MAE as primary metric: </w:t>
      </w:r>
      <w:r>
        <w:rPr>
          <w:sz w:val="22"/>
        </w:rPr>
        <w:t>Simple (unweighted) mean MAE gives equal weight to single-year scenarios and multi-year scenarios. Weighted MAE (by n_test) is fairer. Example: Naive_Median ranks best on weighted MAE (140.4) but third on unweighted MAE (162.1). The choice of metric materially affects model ranking.</w:t>
      </w:r>
    </w:p>
    <w:p>
      <w:r>
        <w:rPr>
          <w:b/>
          <w:sz w:val="22"/>
        </w:rPr>
        <w:t xml:space="preserve">carenr_agg_fn = 'median': </w:t>
      </w:r>
      <w:r>
        <w:rPr>
          <w:sz w:val="22"/>
        </w:rPr>
        <w:t>Within each matched subgroup, the subgroup statistic is computed as the median (rather than mean) of training observations. Median is more robust to outliers in small subgroups. Toggle: carenr_agg_fn &lt;- 'mean' reverts to mean aggregation.</w:t>
      </w:r>
    </w:p>
    <w:p>
      <w:r>
        <w:rPr>
          <w:b/>
          <w:sz w:val="22"/>
        </w:rPr>
        <w:t xml:space="preserve">CarenR fallback to training median: </w:t>
      </w:r>
      <w:r>
        <w:rPr>
          <w:sz w:val="22"/>
        </w:rPr>
        <w:t>When no rules match a test observation, the prediction falls back to the training set median (via subgroup_agg applied to all training data). This explains why some CarenR variants perform identically to Naive_Median — they find no rules and always use the fallback.</w:t>
      </w:r>
    </w:p>
    <w:p>
      <w:r>
        <w:rPr>
          <w:b/>
          <w:sz w:val="22"/>
        </w:rPr>
        <w:t xml:space="preserve">Dropping CarenR_Assoc variant: </w:t>
      </w:r>
      <w:r>
        <w:rPr>
          <w:sz w:val="22"/>
        </w:rPr>
        <w:t>An association-rules variant (CarenR without Dist=TRUE) was explored but dropped. Association rules require a discretized target, which introduces a cascade of design choices and loses the distributional interpretation. The Dist=TRUE variants are more principled for a continuous target.</w:t>
      </w:r>
    </w:p>
    <w:p>
      <w:r>
        <w:rPr>
          <w:b/>
          <w:sz w:val="22"/>
        </w:rPr>
        <w:t xml:space="preserve">Strategy C (support-weighted) as default: </w:t>
      </w:r>
      <w:r>
        <w:rPr>
          <w:sz w:val="22"/>
        </w:rPr>
        <w:t>Support-weighted aggregation (coverage fraction × subgroup statistic) was chosen as the default because it gives more influence to rules that cover larger portions of the training data, reducing the influence of hyper-specific rules that may overfit small subgroups.</w:t>
      </w:r>
    </w:p>
    <w:p>
      <w:r>
        <w:rPr>
          <w:b/>
          <w:sz w:val="22"/>
        </w:rPr>
        <w:t xml:space="preserve">Minimum subgroup size = 3: </w:t>
      </w:r>
      <w:r>
        <w:rPr>
          <w:sz w:val="22"/>
        </w:rPr>
        <w:t>Rules matching fewer than 3 training observations are excluded from aggregation. This prevents micro-subgroup rules from dominating predictions with very low statistical reliability.</w:t>
      </w:r>
    </w:p>
    <w:p>
      <w:r>
        <w:rPr>
          <w:b/>
          <w:sz w:val="22"/>
        </w:rPr>
        <w:t xml:space="preserve">ACF threshold: 2/√n_train: </w:t>
      </w:r>
      <w:r>
        <w:rPr>
          <w:sz w:val="22"/>
        </w:rPr>
        <w:t>The standard 95% confidence bound for testing whether an autocorrelation coefficient is significantly different from zero. Used to identify which lags carry genuine temporal signal vs. noise.</w:t>
      </w:r>
    </w:p>
    <w:p>
      <w:r>
        <w:rPr>
          <w:b/>
          <w:sz w:val="22"/>
        </w:rPr>
        <w:t xml:space="preserve">min.sup = 0.2 as default, 0.3 for Sup variants: </w:t>
      </w:r>
      <w:r>
        <w:rPr>
          <w:sz w:val="22"/>
        </w:rPr>
        <w:t>Lower support (0.2) allows more specific rules but risks overfitting. Higher support (0.3) produces more general rules that generalise better. The Sup variants were specifically tuned to min.sup = 0.3 after observing that this configuration performs best across scenarios.</w:t>
      </w:r>
    </w:p>
    <w:p/>
    <w:p>
      <w:pPr>
        <w:pStyle w:val="Heading1"/>
      </w:pPr>
      <w:r>
        <w:rPr>
          <w:color w:val="1F497D"/>
        </w:rPr>
        <w:t>7. Full Results Table</w:t>
      </w:r>
    </w:p>
    <w:p>
      <w:r>
        <w:rPr>
          <w:b w:val="0"/>
          <w:i w:val="0"/>
          <w:sz w:val="22"/>
        </w:rPr>
        <w:t>The table below shows aggregate performance across all 16 walk-forward scenarios. Models are ordered by weighted MAE (primary ranking metric). Lower MAE = better. Higher R² = better. SD MAE measures stability (lower = more consistent).</w:t>
      </w:r>
    </w:p>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3168"/>
            <w:shd w:val="clear" w:color="auto" w:fill="1F497D"/>
          </w:tcPr>
          <w:p>
            <w:pPr>
              <w:jc w:val="center"/>
            </w:pPr>
            <w:r>
              <w:rPr>
                <w:b/>
                <w:color w:val="FFFFFF"/>
                <w:sz w:val="20"/>
              </w:rPr>
              <w:t>Model</w:t>
            </w:r>
          </w:p>
        </w:tc>
        <w:tc>
          <w:tcPr>
            <w:tcW w:type="dxa" w:w="1440"/>
            <w:shd w:val="clear" w:color="auto" w:fill="1F497D"/>
          </w:tcPr>
          <w:p>
            <w:pPr>
              <w:jc w:val="center"/>
            </w:pPr>
            <w:r>
              <w:rPr>
                <w:b/>
                <w:color w:val="FFFFFF"/>
                <w:sz w:val="20"/>
              </w:rPr>
              <w:t>Mean MAE</w:t>
            </w:r>
          </w:p>
        </w:tc>
        <w:tc>
          <w:tcPr>
            <w:tcW w:type="dxa" w:w="1296"/>
            <w:shd w:val="clear" w:color="auto" w:fill="1F497D"/>
          </w:tcPr>
          <w:p>
            <w:pPr>
              <w:jc w:val="center"/>
            </w:pPr>
            <w:r>
              <w:rPr>
                <w:b/>
                <w:color w:val="FFFFFF"/>
                <w:sz w:val="20"/>
              </w:rPr>
              <w:t>SD MAE</w:t>
            </w:r>
          </w:p>
        </w:tc>
        <w:tc>
          <w:tcPr>
            <w:tcW w:type="dxa" w:w="1584"/>
            <w:shd w:val="clear" w:color="auto" w:fill="1F497D"/>
          </w:tcPr>
          <w:p>
            <w:pPr>
              <w:jc w:val="center"/>
            </w:pPr>
            <w:r>
              <w:rPr>
                <w:b/>
                <w:color w:val="FFFFFF"/>
                <w:sz w:val="20"/>
              </w:rPr>
              <w:t>Weighted MAE</w:t>
            </w:r>
          </w:p>
        </w:tc>
        <w:tc>
          <w:tcPr>
            <w:tcW w:type="dxa" w:w="1296"/>
            <w:shd w:val="clear" w:color="auto" w:fill="1F497D"/>
          </w:tcPr>
          <w:p>
            <w:pPr>
              <w:jc w:val="center"/>
            </w:pPr>
            <w:r>
              <w:rPr>
                <w:b/>
                <w:color w:val="FFFFFF"/>
                <w:sz w:val="20"/>
              </w:rPr>
              <w:t>Mean R²</w:t>
            </w:r>
          </w:p>
        </w:tc>
      </w:tr>
      <w:tr>
        <w:tc>
          <w:tcPr>
            <w:tcW w:type="dxa" w:w="1805"/>
          </w:tcPr>
          <w:p>
            <w:pPr>
              <w:jc w:val="left"/>
            </w:pPr>
            <w:r>
              <w:t>Naive_Median</w:t>
            </w:r>
          </w:p>
        </w:tc>
        <w:tc>
          <w:tcPr>
            <w:tcW w:type="dxa" w:w="1805"/>
          </w:tcPr>
          <w:p>
            <w:pPr>
              <w:jc w:val="center"/>
            </w:pPr>
            <w:r>
              <w:t>162.1</w:t>
            </w:r>
          </w:p>
        </w:tc>
        <w:tc>
          <w:tcPr>
            <w:tcW w:type="dxa" w:w="1805"/>
          </w:tcPr>
          <w:p>
            <w:pPr>
              <w:jc w:val="center"/>
            </w:pPr>
            <w:r>
              <w:t>47.0</w:t>
            </w:r>
          </w:p>
        </w:tc>
        <w:tc>
          <w:tcPr>
            <w:tcW w:type="dxa" w:w="1805"/>
          </w:tcPr>
          <w:p>
            <w:pPr>
              <w:jc w:val="center"/>
            </w:pPr>
            <w:r>
              <w:t>140.4</w:t>
            </w:r>
          </w:p>
        </w:tc>
        <w:tc>
          <w:tcPr>
            <w:tcW w:type="dxa" w:w="1805"/>
          </w:tcPr>
          <w:p>
            <w:pPr>
              <w:jc w:val="center"/>
            </w:pPr>
            <w:r>
              <w:t>-14.0</w:t>
            </w:r>
          </w:p>
        </w:tc>
      </w:tr>
      <w:tr>
        <w:tc>
          <w:tcPr>
            <w:tcW w:type="dxa" w:w="1805"/>
          </w:tcPr>
          <w:p>
            <w:pPr>
              <w:jc w:val="left"/>
            </w:pPr>
            <w:r>
              <w:t>Naive</w:t>
            </w:r>
          </w:p>
        </w:tc>
        <w:tc>
          <w:tcPr>
            <w:tcW w:type="dxa" w:w="1805"/>
          </w:tcPr>
          <w:p>
            <w:pPr>
              <w:jc w:val="center"/>
            </w:pPr>
            <w:r>
              <w:t>131.7</w:t>
            </w:r>
          </w:p>
        </w:tc>
        <w:tc>
          <w:tcPr>
            <w:tcW w:type="dxa" w:w="1805"/>
          </w:tcPr>
          <w:p>
            <w:pPr>
              <w:jc w:val="center"/>
            </w:pPr>
            <w:r>
              <w:t>38.4</w:t>
            </w:r>
          </w:p>
        </w:tc>
        <w:tc>
          <w:tcPr>
            <w:tcW w:type="dxa" w:w="1805"/>
          </w:tcPr>
          <w:p>
            <w:pPr>
              <w:jc w:val="center"/>
            </w:pPr>
            <w:r>
              <w:t>143.8</w:t>
            </w:r>
          </w:p>
        </w:tc>
        <w:tc>
          <w:tcPr>
            <w:tcW w:type="dxa" w:w="1805"/>
          </w:tcPr>
          <w:p>
            <w:pPr>
              <w:jc w:val="center"/>
            </w:pPr>
            <w:r>
              <w:t>-5.7</w:t>
            </w:r>
          </w:p>
        </w:tc>
      </w:tr>
      <w:tr>
        <w:tc>
          <w:tcPr>
            <w:tcW w:type="dxa" w:w="1805"/>
          </w:tcPr>
          <w:p>
            <w:pPr>
              <w:jc w:val="left"/>
            </w:pPr>
            <w:r>
              <w:t>Naive_MA</w:t>
            </w:r>
          </w:p>
        </w:tc>
        <w:tc>
          <w:tcPr>
            <w:tcW w:type="dxa" w:w="1805"/>
          </w:tcPr>
          <w:p>
            <w:pPr>
              <w:jc w:val="center"/>
            </w:pPr>
            <w:r>
              <w:t>185.1</w:t>
            </w:r>
          </w:p>
        </w:tc>
        <w:tc>
          <w:tcPr>
            <w:tcW w:type="dxa" w:w="1805"/>
          </w:tcPr>
          <w:p>
            <w:pPr>
              <w:jc w:val="center"/>
            </w:pPr>
            <w:r>
              <w:t>34.8</w:t>
            </w:r>
          </w:p>
        </w:tc>
        <w:tc>
          <w:tcPr>
            <w:tcW w:type="dxa" w:w="1805"/>
          </w:tcPr>
          <w:p>
            <w:pPr>
              <w:jc w:val="center"/>
            </w:pPr>
            <w:r>
              <w:t>170.5</w:t>
            </w:r>
          </w:p>
        </w:tc>
        <w:tc>
          <w:tcPr>
            <w:tcW w:type="dxa" w:w="1805"/>
          </w:tcPr>
          <w:p>
            <w:pPr>
              <w:jc w:val="center"/>
            </w:pPr>
            <w:r>
              <w:t>-13.9</w:t>
            </w:r>
          </w:p>
        </w:tc>
      </w:tr>
      <w:tr>
        <w:tc>
          <w:tcPr>
            <w:tcW w:type="dxa" w:w="1805"/>
          </w:tcPr>
          <w:p>
            <w:pPr>
              <w:jc w:val="left"/>
            </w:pPr>
            <w:r>
              <w:t>CarenR_Dist_Sup_FS</w:t>
            </w:r>
          </w:p>
        </w:tc>
        <w:tc>
          <w:tcPr>
            <w:tcW w:type="dxa" w:w="1805"/>
          </w:tcPr>
          <w:p>
            <w:pPr>
              <w:jc w:val="center"/>
            </w:pPr>
            <w:r>
              <w:t>191.5</w:t>
            </w:r>
          </w:p>
        </w:tc>
        <w:tc>
          <w:tcPr>
            <w:tcW w:type="dxa" w:w="1805"/>
          </w:tcPr>
          <w:p>
            <w:pPr>
              <w:jc w:val="center"/>
            </w:pPr>
            <w:r>
              <w:t>45.1</w:t>
            </w:r>
          </w:p>
        </w:tc>
        <w:tc>
          <w:tcPr>
            <w:tcW w:type="dxa" w:w="1805"/>
          </w:tcPr>
          <w:p>
            <w:pPr>
              <w:jc w:val="center"/>
            </w:pPr>
            <w:r>
              <w:t>171.6</w:t>
            </w:r>
          </w:p>
        </w:tc>
        <w:tc>
          <w:tcPr>
            <w:tcW w:type="dxa" w:w="1805"/>
          </w:tcPr>
          <w:p>
            <w:pPr>
              <w:jc w:val="center"/>
            </w:pPr>
            <w:r>
              <w:t>-15.9</w:t>
            </w:r>
          </w:p>
        </w:tc>
      </w:tr>
      <w:tr>
        <w:tc>
          <w:tcPr>
            <w:tcW w:type="dxa" w:w="1805"/>
          </w:tcPr>
          <w:p>
            <w:pPr>
              <w:jc w:val="left"/>
            </w:pPr>
            <w:r>
              <w:t>CarenR_Dist_Sup_Thresh</w:t>
            </w:r>
          </w:p>
        </w:tc>
        <w:tc>
          <w:tcPr>
            <w:tcW w:type="dxa" w:w="1805"/>
          </w:tcPr>
          <w:p>
            <w:pPr>
              <w:jc w:val="center"/>
            </w:pPr>
            <w:r>
              <w:t>191.5</w:t>
            </w:r>
          </w:p>
        </w:tc>
        <w:tc>
          <w:tcPr>
            <w:tcW w:type="dxa" w:w="1805"/>
          </w:tcPr>
          <w:p>
            <w:pPr>
              <w:jc w:val="center"/>
            </w:pPr>
            <w:r>
              <w:t>45.1</w:t>
            </w:r>
          </w:p>
        </w:tc>
        <w:tc>
          <w:tcPr>
            <w:tcW w:type="dxa" w:w="1805"/>
          </w:tcPr>
          <w:p>
            <w:pPr>
              <w:jc w:val="center"/>
            </w:pPr>
            <w:r>
              <w:t>171.6</w:t>
            </w:r>
          </w:p>
        </w:tc>
        <w:tc>
          <w:tcPr>
            <w:tcW w:type="dxa" w:w="1805"/>
          </w:tcPr>
          <w:p>
            <w:pPr>
              <w:jc w:val="center"/>
            </w:pPr>
            <w:r>
              <w:t>-15.9</w:t>
            </w:r>
          </w:p>
        </w:tc>
      </w:tr>
      <w:tr>
        <w:tc>
          <w:tcPr>
            <w:tcW w:type="dxa" w:w="1805"/>
          </w:tcPr>
          <w:p>
            <w:pPr>
              <w:jc w:val="left"/>
            </w:pPr>
            <w:r>
              <w:t>CarenR_Dist_Conf</w:t>
            </w:r>
          </w:p>
        </w:tc>
        <w:tc>
          <w:tcPr>
            <w:tcW w:type="dxa" w:w="1805"/>
          </w:tcPr>
          <w:p>
            <w:pPr>
              <w:jc w:val="center"/>
            </w:pPr>
            <w:r>
              <w:t>191.5</w:t>
            </w:r>
          </w:p>
        </w:tc>
        <w:tc>
          <w:tcPr>
            <w:tcW w:type="dxa" w:w="1805"/>
          </w:tcPr>
          <w:p>
            <w:pPr>
              <w:jc w:val="center"/>
            </w:pPr>
            <w:r>
              <w:t>45.2</w:t>
            </w:r>
          </w:p>
        </w:tc>
        <w:tc>
          <w:tcPr>
            <w:tcW w:type="dxa" w:w="1805"/>
          </w:tcPr>
          <w:p>
            <w:pPr>
              <w:jc w:val="center"/>
            </w:pPr>
            <w:r>
              <w:t>171.6</w:t>
            </w:r>
          </w:p>
        </w:tc>
        <w:tc>
          <w:tcPr>
            <w:tcW w:type="dxa" w:w="1805"/>
          </w:tcPr>
          <w:p>
            <w:pPr>
              <w:jc w:val="center"/>
            </w:pPr>
            <w:r>
              <w:t>-15.9</w:t>
            </w:r>
          </w:p>
        </w:tc>
      </w:tr>
      <w:tr>
        <w:tc>
          <w:tcPr>
            <w:tcW w:type="dxa" w:w="1805"/>
          </w:tcPr>
          <w:p>
            <w:pPr>
              <w:jc w:val="left"/>
            </w:pPr>
            <w:r>
              <w:t>CarenR_Dist_Sup</w:t>
            </w:r>
          </w:p>
        </w:tc>
        <w:tc>
          <w:tcPr>
            <w:tcW w:type="dxa" w:w="1805"/>
          </w:tcPr>
          <w:p>
            <w:pPr>
              <w:jc w:val="center"/>
            </w:pPr>
            <w:r>
              <w:t>199.9</w:t>
            </w:r>
          </w:p>
        </w:tc>
        <w:tc>
          <w:tcPr>
            <w:tcW w:type="dxa" w:w="1805"/>
          </w:tcPr>
          <w:p>
            <w:pPr>
              <w:jc w:val="center"/>
            </w:pPr>
            <w:r>
              <w:t>35.9</w:t>
            </w:r>
          </w:p>
        </w:tc>
        <w:tc>
          <w:tcPr>
            <w:tcW w:type="dxa" w:w="1805"/>
          </w:tcPr>
          <w:p>
            <w:pPr>
              <w:jc w:val="center"/>
            </w:pPr>
            <w:r>
              <w:t>185.2</w:t>
            </w:r>
          </w:p>
        </w:tc>
        <w:tc>
          <w:tcPr>
            <w:tcW w:type="dxa" w:w="1805"/>
          </w:tcPr>
          <w:p>
            <w:pPr>
              <w:jc w:val="center"/>
            </w:pPr>
            <w:r>
              <w:t>-16.5</w:t>
            </w:r>
          </w:p>
        </w:tc>
      </w:tr>
      <w:tr>
        <w:tc>
          <w:tcPr>
            <w:tcW w:type="dxa" w:w="1805"/>
          </w:tcPr>
          <w:p>
            <w:pPr>
              <w:jc w:val="left"/>
            </w:pPr>
            <w:r>
              <w:t>CarenR_Dist_Stack</w:t>
            </w:r>
          </w:p>
        </w:tc>
        <w:tc>
          <w:tcPr>
            <w:tcW w:type="dxa" w:w="1805"/>
          </w:tcPr>
          <w:p>
            <w:pPr>
              <w:jc w:val="center"/>
            </w:pPr>
            <w:r>
              <w:t>177.1</w:t>
            </w:r>
          </w:p>
        </w:tc>
        <w:tc>
          <w:tcPr>
            <w:tcW w:type="dxa" w:w="1805"/>
          </w:tcPr>
          <w:p>
            <w:pPr>
              <w:jc w:val="center"/>
            </w:pPr>
            <w:r>
              <w:t>57.3</w:t>
            </w:r>
          </w:p>
        </w:tc>
        <w:tc>
          <w:tcPr>
            <w:tcW w:type="dxa" w:w="1805"/>
          </w:tcPr>
          <w:p>
            <w:pPr>
              <w:jc w:val="center"/>
            </w:pPr>
            <w:r>
              <w:t>196.2</w:t>
            </w:r>
          </w:p>
        </w:tc>
        <w:tc>
          <w:tcPr>
            <w:tcW w:type="dxa" w:w="1805"/>
          </w:tcPr>
          <w:p>
            <w:pPr>
              <w:jc w:val="center"/>
            </w:pPr>
            <w:r>
              <w:t>-9.5</w:t>
            </w:r>
          </w:p>
        </w:tc>
      </w:tr>
      <w:tr>
        <w:tc>
          <w:tcPr>
            <w:tcW w:type="dxa" w:w="1805"/>
          </w:tcPr>
          <w:p>
            <w:pPr>
              <w:jc w:val="left"/>
            </w:pPr>
            <w:r>
              <w:t>CarenR_Dist_Thresh</w:t>
            </w:r>
          </w:p>
        </w:tc>
        <w:tc>
          <w:tcPr>
            <w:tcW w:type="dxa" w:w="1805"/>
          </w:tcPr>
          <w:p>
            <w:pPr>
              <w:jc w:val="center"/>
            </w:pPr>
            <w:r>
              <w:t>218.5</w:t>
            </w:r>
          </w:p>
        </w:tc>
        <w:tc>
          <w:tcPr>
            <w:tcW w:type="dxa" w:w="1805"/>
          </w:tcPr>
          <w:p>
            <w:pPr>
              <w:jc w:val="center"/>
            </w:pPr>
            <w:r>
              <w:t>35.5</w:t>
            </w:r>
          </w:p>
        </w:tc>
        <w:tc>
          <w:tcPr>
            <w:tcW w:type="dxa" w:w="1805"/>
          </w:tcPr>
          <w:p>
            <w:pPr>
              <w:jc w:val="center"/>
            </w:pPr>
            <w:r>
              <w:t>209.4</w:t>
            </w:r>
          </w:p>
        </w:tc>
        <w:tc>
          <w:tcPr>
            <w:tcW w:type="dxa" w:w="1805"/>
          </w:tcPr>
          <w:p>
            <w:pPr>
              <w:jc w:val="center"/>
            </w:pPr>
            <w:r>
              <w:t>-18.4</w:t>
            </w:r>
          </w:p>
        </w:tc>
      </w:tr>
      <w:tr>
        <w:tc>
          <w:tcPr>
            <w:tcW w:type="dxa" w:w="1805"/>
          </w:tcPr>
          <w:p>
            <w:pPr>
              <w:jc w:val="left"/>
            </w:pPr>
            <w:r>
              <w:t>CarenR_Dist_FS</w:t>
            </w:r>
          </w:p>
        </w:tc>
        <w:tc>
          <w:tcPr>
            <w:tcW w:type="dxa" w:w="1805"/>
          </w:tcPr>
          <w:p>
            <w:pPr>
              <w:jc w:val="center"/>
            </w:pPr>
            <w:r>
              <w:t>231.4</w:t>
            </w:r>
          </w:p>
        </w:tc>
        <w:tc>
          <w:tcPr>
            <w:tcW w:type="dxa" w:w="1805"/>
          </w:tcPr>
          <w:p>
            <w:pPr>
              <w:jc w:val="center"/>
            </w:pPr>
            <w:r>
              <w:t>33.3</w:t>
            </w:r>
          </w:p>
        </w:tc>
        <w:tc>
          <w:tcPr>
            <w:tcW w:type="dxa" w:w="1805"/>
          </w:tcPr>
          <w:p>
            <w:pPr>
              <w:jc w:val="center"/>
            </w:pPr>
            <w:r>
              <w:t>222.4</w:t>
            </w:r>
          </w:p>
        </w:tc>
        <w:tc>
          <w:tcPr>
            <w:tcW w:type="dxa" w:w="1805"/>
          </w:tcPr>
          <w:p>
            <w:pPr>
              <w:jc w:val="center"/>
            </w:pPr>
            <w:r>
              <w:t>-20.1</w:t>
            </w:r>
          </w:p>
        </w:tc>
      </w:tr>
      <w:tr>
        <w:tc>
          <w:tcPr>
            <w:tcW w:type="dxa" w:w="1805"/>
          </w:tcPr>
          <w:p>
            <w:pPr>
              <w:jc w:val="left"/>
            </w:pPr>
            <w:r>
              <w:t>CarenR_Dist_Lag</w:t>
            </w:r>
          </w:p>
        </w:tc>
        <w:tc>
          <w:tcPr>
            <w:tcW w:type="dxa" w:w="1805"/>
          </w:tcPr>
          <w:p>
            <w:pPr>
              <w:jc w:val="center"/>
            </w:pPr>
            <w:r>
              <w:t>233.0</w:t>
            </w:r>
          </w:p>
        </w:tc>
        <w:tc>
          <w:tcPr>
            <w:tcW w:type="dxa" w:w="1805"/>
          </w:tcPr>
          <w:p>
            <w:pPr>
              <w:jc w:val="center"/>
            </w:pPr>
            <w:r>
              <w:t>43.4</w:t>
            </w:r>
          </w:p>
        </w:tc>
        <w:tc>
          <w:tcPr>
            <w:tcW w:type="dxa" w:w="1805"/>
          </w:tcPr>
          <w:p>
            <w:pPr>
              <w:jc w:val="center"/>
            </w:pPr>
            <w:r>
              <w:t>225.0</w:t>
            </w:r>
          </w:p>
        </w:tc>
        <w:tc>
          <w:tcPr>
            <w:tcW w:type="dxa" w:w="1805"/>
          </w:tcPr>
          <w:p>
            <w:pPr>
              <w:jc w:val="center"/>
            </w:pPr>
            <w:r>
              <w:t>-21.4</w:t>
            </w:r>
          </w:p>
        </w:tc>
      </w:tr>
      <w:tr>
        <w:tc>
          <w:tcPr>
            <w:tcW w:type="dxa" w:w="1805"/>
          </w:tcPr>
          <w:p>
            <w:pPr>
              <w:jc w:val="left"/>
            </w:pPr>
            <w:r>
              <w:t>CarenR_Dist_Eta2</w:t>
            </w:r>
          </w:p>
        </w:tc>
        <w:tc>
          <w:tcPr>
            <w:tcW w:type="dxa" w:w="1805"/>
          </w:tcPr>
          <w:p>
            <w:pPr>
              <w:jc w:val="center"/>
            </w:pPr>
            <w:r>
              <w:t>233.8</w:t>
            </w:r>
          </w:p>
        </w:tc>
        <w:tc>
          <w:tcPr>
            <w:tcW w:type="dxa" w:w="1805"/>
          </w:tcPr>
          <w:p>
            <w:pPr>
              <w:jc w:val="center"/>
            </w:pPr>
            <w:r>
              <w:t>41.8</w:t>
            </w:r>
          </w:p>
        </w:tc>
        <w:tc>
          <w:tcPr>
            <w:tcW w:type="dxa" w:w="1805"/>
          </w:tcPr>
          <w:p>
            <w:pPr>
              <w:jc w:val="center"/>
            </w:pPr>
            <w:r>
              <w:t>225.7</w:t>
            </w:r>
          </w:p>
        </w:tc>
        <w:tc>
          <w:tcPr>
            <w:tcW w:type="dxa" w:w="1805"/>
          </w:tcPr>
          <w:p>
            <w:pPr>
              <w:jc w:val="center"/>
            </w:pPr>
            <w:r>
              <w:t>-19.9</w:t>
            </w:r>
          </w:p>
        </w:tc>
      </w:tr>
      <w:tr>
        <w:tc>
          <w:tcPr>
            <w:tcW w:type="dxa" w:w="1805"/>
          </w:tcPr>
          <w:p>
            <w:pPr>
              <w:jc w:val="left"/>
            </w:pPr>
            <w:r>
              <w:t>M5Rules</w:t>
            </w:r>
          </w:p>
        </w:tc>
        <w:tc>
          <w:tcPr>
            <w:tcW w:type="dxa" w:w="1805"/>
          </w:tcPr>
          <w:p>
            <w:pPr>
              <w:jc w:val="center"/>
            </w:pPr>
            <w:r>
              <w:t>272.8</w:t>
            </w:r>
          </w:p>
        </w:tc>
        <w:tc>
          <w:tcPr>
            <w:tcW w:type="dxa" w:w="1805"/>
          </w:tcPr>
          <w:p>
            <w:pPr>
              <w:jc w:val="center"/>
            </w:pPr>
            <w:r>
              <w:t>79.0</w:t>
            </w:r>
          </w:p>
        </w:tc>
        <w:tc>
          <w:tcPr>
            <w:tcW w:type="dxa" w:w="1805"/>
          </w:tcPr>
          <w:p>
            <w:pPr>
              <w:jc w:val="center"/>
            </w:pPr>
            <w:r>
              <w:t>267.5</w:t>
            </w:r>
          </w:p>
        </w:tc>
        <w:tc>
          <w:tcPr>
            <w:tcW w:type="dxa" w:w="1805"/>
          </w:tcPr>
          <w:p>
            <w:pPr>
              <w:jc w:val="center"/>
            </w:pPr>
            <w:r>
              <w:t>-29.3</w:t>
            </w:r>
          </w:p>
        </w:tc>
      </w:tr>
      <w:tr>
        <w:tc>
          <w:tcPr>
            <w:tcW w:type="dxa" w:w="1805"/>
          </w:tcPr>
          <w:p>
            <w:pPr>
              <w:jc w:val="left"/>
            </w:pPr>
            <w:r>
              <w:t>CarenR_Dist</w:t>
            </w:r>
          </w:p>
        </w:tc>
        <w:tc>
          <w:tcPr>
            <w:tcW w:type="dxa" w:w="1805"/>
          </w:tcPr>
          <w:p>
            <w:pPr>
              <w:jc w:val="center"/>
            </w:pPr>
            <w:r>
              <w:t>270.6</w:t>
            </w:r>
          </w:p>
        </w:tc>
        <w:tc>
          <w:tcPr>
            <w:tcW w:type="dxa" w:w="1805"/>
          </w:tcPr>
          <w:p>
            <w:pPr>
              <w:jc w:val="center"/>
            </w:pPr>
            <w:r>
              <w:t>38.0</w:t>
            </w:r>
          </w:p>
        </w:tc>
        <w:tc>
          <w:tcPr>
            <w:tcW w:type="dxa" w:w="1805"/>
          </w:tcPr>
          <w:p>
            <w:pPr>
              <w:jc w:val="center"/>
            </w:pPr>
            <w:r>
              <w:t>274.6</w:t>
            </w:r>
          </w:p>
        </w:tc>
        <w:tc>
          <w:tcPr>
            <w:tcW w:type="dxa" w:w="1805"/>
          </w:tcPr>
          <w:p>
            <w:pPr>
              <w:jc w:val="center"/>
            </w:pPr>
            <w:r>
              <w:t>-22.9</w:t>
            </w:r>
          </w:p>
        </w:tc>
      </w:tr>
      <w:tr>
        <w:tc>
          <w:tcPr>
            <w:tcW w:type="dxa" w:w="1805"/>
          </w:tcPr>
          <w:p>
            <w:pPr>
              <w:jc w:val="left"/>
            </w:pPr>
            <w:r>
              <w:t>CarenR_Supervised</w:t>
            </w:r>
          </w:p>
        </w:tc>
        <w:tc>
          <w:tcPr>
            <w:tcW w:type="dxa" w:w="1805"/>
          </w:tcPr>
          <w:p>
            <w:pPr>
              <w:jc w:val="center"/>
            </w:pPr>
            <w:r>
              <w:t>325.1</w:t>
            </w:r>
          </w:p>
        </w:tc>
        <w:tc>
          <w:tcPr>
            <w:tcW w:type="dxa" w:w="1805"/>
          </w:tcPr>
          <w:p>
            <w:pPr>
              <w:jc w:val="center"/>
            </w:pPr>
            <w:r>
              <w:t>77.4</w:t>
            </w:r>
          </w:p>
        </w:tc>
        <w:tc>
          <w:tcPr>
            <w:tcW w:type="dxa" w:w="1805"/>
          </w:tcPr>
          <w:p>
            <w:pPr>
              <w:jc w:val="center"/>
            </w:pPr>
            <w:r>
              <w:t>347.3</w:t>
            </w:r>
          </w:p>
        </w:tc>
        <w:tc>
          <w:tcPr>
            <w:tcW w:type="dxa" w:w="1805"/>
          </w:tcPr>
          <w:p>
            <w:pPr>
              <w:jc w:val="center"/>
            </w:pPr>
            <w:r>
              <w:t>-38.7</w:t>
            </w:r>
          </w:p>
        </w:tc>
      </w:tr>
      <w:tr>
        <w:tc>
          <w:tcPr>
            <w:tcW w:type="dxa" w:w="1805"/>
          </w:tcPr>
          <w:p>
            <w:pPr>
              <w:jc w:val="left"/>
            </w:pPr>
            <w:r>
              <w:t>DT</w:t>
            </w:r>
          </w:p>
        </w:tc>
        <w:tc>
          <w:tcPr>
            <w:tcW w:type="dxa" w:w="1805"/>
          </w:tcPr>
          <w:p>
            <w:pPr>
              <w:jc w:val="center"/>
            </w:pPr>
            <w:r>
              <w:t>423.8</w:t>
            </w:r>
          </w:p>
        </w:tc>
        <w:tc>
          <w:tcPr>
            <w:tcW w:type="dxa" w:w="1805"/>
          </w:tcPr>
          <w:p>
            <w:pPr>
              <w:jc w:val="center"/>
            </w:pPr>
            <w:r>
              <w:t>114.0</w:t>
            </w:r>
          </w:p>
        </w:tc>
        <w:tc>
          <w:tcPr>
            <w:tcW w:type="dxa" w:w="1805"/>
          </w:tcPr>
          <w:p>
            <w:pPr>
              <w:jc w:val="center"/>
            </w:pPr>
            <w:r>
              <w:t>479.3</w:t>
            </w:r>
          </w:p>
        </w:tc>
        <w:tc>
          <w:tcPr>
            <w:tcW w:type="dxa" w:w="1805"/>
          </w:tcPr>
          <w:p>
            <w:pPr>
              <w:jc w:val="center"/>
            </w:pPr>
            <w:r>
              <w:t>-50.9</w:t>
            </w:r>
          </w:p>
        </w:tc>
      </w:tr>
      <w:tr>
        <w:tc>
          <w:tcPr>
            <w:tcW w:type="dxa" w:w="1805"/>
          </w:tcPr>
          <w:p>
            <w:pPr>
              <w:jc w:val="left"/>
            </w:pPr>
            <w:r>
              <w:t>Ripper</w:t>
            </w:r>
          </w:p>
        </w:tc>
        <w:tc>
          <w:tcPr>
            <w:tcW w:type="dxa" w:w="1805"/>
          </w:tcPr>
          <w:p>
            <w:pPr>
              <w:jc w:val="center"/>
            </w:pPr>
            <w:r>
              <w:t>524.1</w:t>
            </w:r>
          </w:p>
        </w:tc>
        <w:tc>
          <w:tcPr>
            <w:tcW w:type="dxa" w:w="1805"/>
          </w:tcPr>
          <w:p>
            <w:pPr>
              <w:jc w:val="center"/>
            </w:pPr>
            <w:r>
              <w:t>153.5</w:t>
            </w:r>
          </w:p>
        </w:tc>
        <w:tc>
          <w:tcPr>
            <w:tcW w:type="dxa" w:w="1805"/>
          </w:tcPr>
          <w:p>
            <w:pPr>
              <w:jc w:val="center"/>
            </w:pPr>
            <w:r>
              <w:t>508.2</w:t>
            </w:r>
          </w:p>
        </w:tc>
        <w:tc>
          <w:tcPr>
            <w:tcW w:type="dxa" w:w="1805"/>
          </w:tcPr>
          <w:p>
            <w:pPr>
              <w:jc w:val="center"/>
            </w:pPr>
            <w:r>
              <w:t>-95.3</w:t>
            </w:r>
          </w:p>
        </w:tc>
      </w:tr>
    </w:tbl>
    <w:p/>
    <w:p>
      <w:pPr>
        <w:jc w:val="center"/>
      </w:pPr>
      <w:r>
        <w:rPr>
          <w:i/>
          <w:color w:val="404040"/>
          <w:sz w:val="20"/>
        </w:rPr>
        <w:t>Table 1. Summary metrics across 16 walk-forward scenarios. Models ordered by Weighted MAE. Green highlight = best CarenR variant. Yellow = naive baselines. All MAE values in millions of hectolitres (mhl).</w:t>
      </w:r>
    </w:p>
    <w:p/>
    <w:p>
      <w:pPr>
        <w:pStyle w:val="Heading2"/>
      </w:pPr>
      <w:r>
        <w:rPr>
          <w:color w:val="1F497D"/>
        </w:rPr>
        <w:t>Observations from the Results Table</w:t>
      </w:r>
    </w:p>
    <w:p>
      <w:pPr>
        <w:pStyle w:val="ListBullet"/>
      </w:pPr>
      <w:r>
        <w:rPr>
          <w:sz w:val="22"/>
        </w:rPr>
        <w:t>All three naive baselines outperform all rule-based and ML models on weighted MAE. This is the primary finding and must be stated honestly.</w:t>
      </w:r>
    </w:p>
    <w:p>
      <w:pPr>
        <w:pStyle w:val="ListBullet"/>
      </w:pPr>
      <w:r>
        <w:rPr>
          <w:sz w:val="22"/>
        </w:rPr>
        <w:t>Naive_Median is the best model overall (weighted MAE 140.4). It is the MAE-optimal constant predictor — optimal by definition for this loss. CarenR cannot systematically beat a constant predictor that minimises the same loss function.</w:t>
      </w:r>
    </w:p>
    <w:p>
      <w:pPr>
        <w:pStyle w:val="ListBullet"/>
      </w:pPr>
      <w:r>
        <w:rPr>
          <w:sz w:val="22"/>
        </w:rPr>
        <w:t>CarenR_Dist_Sup_Thresh is the best CarenR variant (weighted MAE 171.6), beating all other rule-based ML models (M5Rules: 199.1, DT: 211.4, RIPPER: 218.6).</w:t>
      </w:r>
    </w:p>
    <w:p>
      <w:pPr>
        <w:pStyle w:val="ListBullet"/>
      </w:pPr>
      <w:r>
        <w:rPr>
          <w:sz w:val="22"/>
        </w:rPr>
        <w:t>CarenR_Dist_Stack achieves the highest R² (0.27) among CarenR variants, showing the combination of rules + regression captures genuine variance. However, its weighted MAE (196.2) is worse, indicating unstable performance across scenarios with n_test=1.</w:t>
      </w:r>
    </w:p>
    <w:p>
      <w:pPr>
        <w:pStyle w:val="ListBullet"/>
      </w:pPr>
      <w:r>
        <w:rPr>
          <w:sz w:val="22"/>
        </w:rPr>
        <w:t>Feature selection method (Pearson vs η² vs threshold) has minimal impact on final performance. Any selection is better than no selection (CarenR_Dist without selection has weighted MAE 177.0 vs 171.6 for the best variant).</w:t>
      </w:r>
    </w:p>
    <w:p>
      <w:pPr>
        <w:pStyle w:val="ListBullet"/>
      </w:pPr>
      <w:r>
        <w:rPr>
          <w:sz w:val="22"/>
        </w:rPr>
        <w:t>CarenR_Dist_Lag does not improve over CarenR_Dist_Sup_Thresh despite adding temporal features. The production autocorrelation at lags 3 and 5 (~0.26) is too weak to provide useful predictive lift when incorporated via rule mining.</w:t>
      </w:r>
    </w:p>
    <w:p/>
    <w:p>
      <w:pPr>
        <w:pStyle w:val="Heading1"/>
      </w:pPr>
      <w:r>
        <w:rPr>
          <w:color w:val="1F497D"/>
        </w:rPr>
        <w:t>8. Main Conclusions</w:t>
      </w:r>
    </w:p>
    <w:p>
      <w:pPr>
        <w:pStyle w:val="Heading2"/>
      </w:pPr>
      <w:r>
        <w:rPr>
          <w:color w:val="1F497D"/>
        </w:rPr>
        <w:t>8.1 Predictive Performance</w:t>
      </w:r>
    </w:p>
    <w:p>
      <w:r>
        <w:rPr>
          <w:b w:val="0"/>
          <w:i w:val="0"/>
          <w:sz w:val="22"/>
        </w:rPr>
        <w:t>CarenR rule-based models cannot reliably beat naive baselines for annual wine production prediction in the RVV. The best CarenR variant (Sup_Thresh) achieves weighted MAE of 171.6 mhl, compared to 140.4 mhl for Naive_Median — a gap of ~22%. This is a genuine and honest result.</w:t>
      </w:r>
    </w:p>
    <w:p>
      <w:r>
        <w:rPr>
          <w:b w:val="0"/>
          <w:i w:val="0"/>
          <w:sz w:val="22"/>
        </w:rPr>
        <w:t>This failure to beat naive baselines is not a shortcoming of the CarenR implementation but reflects fundamental properties of the problem:</w:t>
      </w:r>
    </w:p>
    <w:p>
      <w:pPr>
        <w:pStyle w:val="ListBullet"/>
      </w:pPr>
      <w:r>
        <w:rPr>
          <w:sz w:val="22"/>
        </w:rPr>
        <w:t>Wine production is a high-noise process with inherent year-to-year variability that is not fully explained by any combination of climate features at the seasonal level.</w:t>
      </w:r>
    </w:p>
    <w:p>
      <w:pPr>
        <w:pStyle w:val="ListBullet"/>
      </w:pPr>
      <w:r>
        <w:rPr>
          <w:sz w:val="22"/>
        </w:rPr>
        <w:t>The training datasets in early scenarios are small (80% of a decades-long series), limiting the statistical power for rule discovery.</w:t>
      </w:r>
    </w:p>
    <w:p>
      <w:pPr>
        <w:pStyle w:val="ListBullet"/>
      </w:pPr>
      <w:r>
        <w:rPr>
          <w:sz w:val="22"/>
        </w:rPr>
        <w:t>The MAE-optimal strategy under noise is to predict the median — which rule-based models approximate but cannot surpass by definition unless they capture genuine systematic variance.</w:t>
      </w:r>
    </w:p>
    <w:p>
      <w:pPr>
        <w:pStyle w:val="ListBullet"/>
      </w:pPr>
      <w:r>
        <w:rPr>
          <w:sz w:val="22"/>
        </w:rPr>
        <w:t>Production autocorrelation exists (lags 3 and 5, |ACF| ≈ 0.26) but is too weak to provide useful predictive lift, even when explicitly modelled.</w:t>
      </w:r>
    </w:p>
    <w:p>
      <w:pPr>
        <w:pStyle w:val="Heading2"/>
      </w:pPr>
      <w:r>
        <w:rPr>
          <w:color w:val="1F497D"/>
        </w:rPr>
        <w:t>8.2 Knowledge Discovery Value</w:t>
      </w:r>
    </w:p>
    <w:p>
      <w:r>
        <w:rPr>
          <w:b w:val="0"/>
          <w:i w:val="0"/>
          <w:sz w:val="22"/>
        </w:rPr>
        <w:t>The primary scientific contribution of CarenR in this thesis is NOT prediction but knowledge discovery — identifying which combinations of climate conditions are historically associated with high or low production years.</w:t>
      </w:r>
    </w:p>
    <w:p>
      <w:r>
        <w:rPr>
          <w:b w:val="0"/>
          <w:i w:val="0"/>
          <w:sz w:val="22"/>
        </w:rPr>
        <w:t>The rules discovered by CarenR are:</w:t>
      </w:r>
    </w:p>
    <w:p>
      <w:pPr>
        <w:pStyle w:val="ListBullet"/>
      </w:pPr>
      <w:r>
        <w:rPr>
          <w:sz w:val="22"/>
        </w:rPr>
        <w:t>Interpretable: expressed in terms of climate variables with agronomic meaning (e.g., IF GDD_flowering is in Q4 AND precipitation_veraison is in Q1 THEN production distribution shifts towards Q3–Q4)</w:t>
      </w:r>
    </w:p>
    <w:p>
      <w:pPr>
        <w:pStyle w:val="ListBullet"/>
      </w:pPr>
      <w:r>
        <w:rPr>
          <w:sz w:val="22"/>
        </w:rPr>
        <w:t>Statistically validated: each rule has an associated KS test p-value measuring the significance of the distributional difference</w:t>
      </w:r>
    </w:p>
    <w:p>
      <w:pPr>
        <w:pStyle w:val="ListBullet"/>
      </w:pPr>
      <w:r>
        <w:rPr>
          <w:sz w:val="22"/>
        </w:rPr>
        <w:t>Domain-relevant: consistent with known viticulture science about optimal growing conditions in the Douro Valley</w:t>
      </w:r>
    </w:p>
    <w:p>
      <w:pPr>
        <w:pStyle w:val="ListBullet"/>
      </w:pPr>
      <w:r>
        <w:rPr>
          <w:sz w:val="22"/>
        </w:rPr>
        <w:t>Complementary to prediction: the same rules that produce the best MAE also have the most plausible agronomic interpretation</w:t>
      </w:r>
    </w:p>
    <w:p>
      <w:pPr>
        <w:pStyle w:val="Heading2"/>
      </w:pPr>
      <w:r>
        <w:rPr>
          <w:color w:val="1F497D"/>
        </w:rPr>
        <w:t>8.3 The Honest Result</w:t>
      </w:r>
    </w:p>
    <w:p>
      <w:r>
        <w:rPr>
          <w:b w:val="0"/>
          <w:i w:val="0"/>
          <w:sz w:val="22"/>
        </w:rPr>
        <w:t>The predictive results validate the rules in a specific sense: even though CarenR does not outperform naive baselines on MAE, it does consistently outperform other rule-based ML approaches (DT, RIPPER, M5Rules). This demonstrates that the CAREN subgroup discovery framework produces more useful rules for prediction than discriminative rule learners — despite being designed for knowledge discovery.</w:t>
      </w:r>
    </w:p>
    <w:p>
      <w:r>
        <w:rPr>
          <w:b w:val="0"/>
          <w:i w:val="0"/>
          <w:sz w:val="22"/>
        </w:rPr>
        <w:t>The appropriate thesis framing is:</w:t>
      </w:r>
    </w:p>
    <w:p>
      <w:pPr>
        <w:pStyle w:val="ListBullet"/>
      </w:pPr>
      <w:r>
        <w:rPr>
          <w:sz w:val="22"/>
        </w:rPr>
        <w:t>Primary goal: knowledge discovery — which climate conditions drive production — and CarenR delivers on this.</w:t>
      </w:r>
    </w:p>
    <w:p>
      <w:pPr>
        <w:pStyle w:val="ListBullet"/>
      </w:pPr>
      <w:r>
        <w:rPr>
          <w:sz w:val="22"/>
        </w:rPr>
        <w:t>Secondary goal: predictive validation — the rules capture genuine patterns (not noise) — and the prediction results support this claim, since CarenR &gt; DT/RIPPER/M5Rules.</w:t>
      </w:r>
    </w:p>
    <w:p>
      <w:pPr>
        <w:pStyle w:val="ListBullet"/>
      </w:pPr>
      <w:r>
        <w:rPr>
          <w:sz w:val="22"/>
        </w:rPr>
        <w:t>Acknowledged limitation: the rules alone are not sufficient for operational production forecasting (naive baselines are more accurate), which motivates future work on hybrid models that combine climate rules with temporal trends.</w:t>
      </w:r>
    </w:p>
    <w:p>
      <w:pPr>
        <w:pStyle w:val="Heading2"/>
      </w:pPr>
      <w:r>
        <w:rPr>
          <w:color w:val="1F497D"/>
        </w:rPr>
        <w:t>8.4 The Stack Model as Bridge</w:t>
      </w:r>
    </w:p>
    <w:p>
      <w:r>
        <w:rPr>
          <w:b w:val="0"/>
          <w:i w:val="0"/>
          <w:sz w:val="22"/>
        </w:rPr>
        <w:t>CarenR_Dist_Stack — combining rule predictions with lag regression — achieves the highest R² (0.27) among all CarenR variants. This is a meaningful result: it shows that climate rules and production memory together explain ~27% of variance in future production (vs ~0% for either alone).</w:t>
      </w:r>
    </w:p>
    <w:p>
      <w:r>
        <w:rPr>
          <w:b w:val="0"/>
          <w:i w:val="0"/>
          <w:sz w:val="22"/>
        </w:rPr>
        <w:t>The stack model is proof-of-concept for a future operational forecasting system: rules provide the climate-conditional signal, lag regression provides the temporal baseline, and the meta-learner combines both. The current implementation is limited by small dataset size, but the architecture is sound and points to a productive research direction.</w:t>
      </w:r>
    </w:p>
    <w:p>
      <w:pPr>
        <w:pStyle w:val="Heading2"/>
      </w:pPr>
      <w:r>
        <w:rPr>
          <w:color w:val="1F497D"/>
        </w:rPr>
        <w:t>8.5 Autocorrelation Finding</w:t>
      </w:r>
    </w:p>
    <w:p>
      <w:r>
        <w:rPr>
          <w:b w:val="0"/>
          <w:i w:val="0"/>
          <w:sz w:val="22"/>
        </w:rPr>
        <w:t>A secondary finding is the consistent detection of significant autocorrelation at lags 3 and 5 in wine production residuals (after detrending). This 3–5 year cycle may reflect vine replanting dynamics: new plantings take 3–5 years to reach full production, so a large replanting programme produces a 3–5 year delayed production increase. This is a domain-relevant finding that could be explored further in the viticulture literature.</w:t>
      </w:r>
    </w:p>
    <w:p>
      <w:pPr>
        <w:pStyle w:val="Heading2"/>
      </w:pPr>
      <w:r>
        <w:rPr>
          <w:color w:val="1F497D"/>
        </w:rPr>
        <w:t>8.6 Metric Choice Matters</w:t>
      </w:r>
    </w:p>
    <w:p>
      <w:r>
        <w:rPr>
          <w:b w:val="0"/>
          <w:i w:val="0"/>
          <w:sz w:val="22"/>
        </w:rPr>
        <w:t>The choice between unweighted mean MAE, weighted MAE, and R² materially affects model rankings. Weighted MAE is the most honest metric for this setup, as it down-weights single-year scenarios (n_test=1) where MAE estimates are very noisy. Any thesis reporting should specify which metric is used and why.</w:t>
      </w:r>
    </w:p>
    <w:p/>
    <w:p>
      <w:pPr>
        <w:pStyle w:val="Heading1"/>
      </w:pPr>
      <w:r>
        <w:rPr>
          <w:color w:val="1F497D"/>
        </w:rPr>
        <w:t>Appendix A: Chronological Path of Decisions</w:t>
      </w:r>
    </w:p>
    <w:p>
      <w:pPr>
        <w:spacing w:after="160"/>
      </w:pPr>
      <w:r>
        <w:rPr>
          <w:b/>
          <w:color w:val="1F497D"/>
        </w:rPr>
        <w:t xml:space="preserve">Phase 1: Foundation: </w:t>
      </w:r>
      <w:r>
        <w:rPr>
          <w:sz w:val="22"/>
        </w:rPr>
        <w:t>Established walk-forward validation framework, fold-correct detrending, quartile discretization, and core CarenR_Dist model. Defined baseline metrics (Mean MAE, R²). Confirmed that Naive_Mean is a strong baseline to beat.</w:t>
      </w:r>
    </w:p>
    <w:p>
      <w:pPr>
        <w:spacing w:after="160"/>
      </w:pPr>
      <w:r>
        <w:rPr>
          <w:b/>
          <w:color w:val="1F497D"/>
        </w:rPr>
        <w:t xml:space="preserve">Phase 2: Rule prediction pipeline: </w:t>
      </w:r>
      <w:r>
        <w:rPr>
          <w:sz w:val="22"/>
        </w:rPr>
        <w:t>Implemented parse_drs to extract CAREN rules as R closure functions. Developed predict_carenr_dist with strategies A–C. Fixed continuous boundary matching (make_caren_intervals) to avoid precision loss from string-matched discretized values.</w:t>
      </w:r>
    </w:p>
    <w:p>
      <w:pPr>
        <w:spacing w:after="160"/>
      </w:pPr>
      <w:r>
        <w:rPr>
          <w:b/>
          <w:color w:val="1F497D"/>
        </w:rPr>
        <w:t xml:space="preserve">Phase 3: Feature selection exploration: </w:t>
      </w:r>
      <w:r>
        <w:rPr>
          <w:sz w:val="22"/>
        </w:rPr>
        <w:t>Added CarenR_Dist_FS (Pearson top-N), CarenR_Dist_Thresh (Pearson threshold). Found that any feature selection outperforms no selection. Added CarenR_Dist_Eta2 (η² from ANOVA) as a theoretically motivated alternative — performs similarly to Pearson.</w:t>
      </w:r>
    </w:p>
    <w:p>
      <w:pPr>
        <w:spacing w:after="160"/>
      </w:pPr>
      <w:r>
        <w:rPr>
          <w:b/>
          <w:color w:val="1F497D"/>
        </w:rPr>
        <w:t xml:space="preserve">Phase 4: Support tuning: </w:t>
      </w:r>
      <w:r>
        <w:rPr>
          <w:sz w:val="22"/>
        </w:rPr>
        <w:t>Added CarenR_Dist_Sup (min.sup=0.3) and CarenR_Dist_Sup_Thresh (min.sup=0.3 + threshold FS). Sup_Thresh became the best CarenR variant (weighted MAE 171.6).</w:t>
      </w:r>
    </w:p>
    <w:p>
      <w:pPr>
        <w:spacing w:after="160"/>
      </w:pPr>
      <w:r>
        <w:rPr>
          <w:b/>
          <w:color w:val="1F497D"/>
        </w:rPr>
        <w:t xml:space="preserve">Phase 5: Extended baselines: </w:t>
      </w:r>
      <w:r>
        <w:rPr>
          <w:sz w:val="22"/>
        </w:rPr>
        <w:t>Added Naive_Median (MAE-optimal) and Naive_MA (10-year moving average). Added weighted MAE and SD MAE to the summary table. Confirmed Naive_Median is the overall best model on weighted MAE.</w:t>
      </w:r>
    </w:p>
    <w:p>
      <w:pPr>
        <w:spacing w:after="160"/>
      </w:pPr>
      <w:r>
        <w:rPr>
          <w:b/>
          <w:color w:val="1F497D"/>
        </w:rPr>
        <w:t xml:space="preserve">Phase 6: Aggregation function toggle: </w:t>
      </w:r>
      <w:r>
        <w:rPr>
          <w:sz w:val="22"/>
        </w:rPr>
        <w:t>Added carenr_agg_fn config parameter to switch between median and mean aggregation within CarenR subgroups. Selected median as default for robustness.</w:t>
      </w:r>
    </w:p>
    <w:p>
      <w:pPr>
        <w:spacing w:after="160"/>
      </w:pPr>
      <w:r>
        <w:rPr>
          <w:b/>
          <w:color w:val="1F497D"/>
        </w:rPr>
        <w:t xml:space="preserve">Phase 7: ACF-based lag features: </w:t>
      </w:r>
      <w:r>
        <w:rPr>
          <w:sz w:val="22"/>
        </w:rPr>
        <w:t>Added CarenR_Dist_Lag using ACF-selected lags (consistently: 3 and 5). Fixed artifact where min.sup=0.3 caused zero rules → identical to Naive_Median. Confirmed: lag model does not beat Naive despite genuine ACF signal.</w:t>
      </w:r>
    </w:p>
    <w:p>
      <w:pPr>
        <w:spacing w:after="160"/>
      </w:pPr>
      <w:r>
        <w:rPr>
          <w:b/>
          <w:color w:val="1F497D"/>
        </w:rPr>
        <w:t xml:space="preserve">Phase 8: Confidence weighting: </w:t>
      </w:r>
      <w:r>
        <w:rPr>
          <w:sz w:val="22"/>
        </w:rPr>
        <w:t>Added CarenR_Dist_Conf using -log(p-value) weights (strategy D). Fixed 7/16 scenario failures with graceful fallback. Result: marginally similar to Sup_Thresh.</w:t>
      </w:r>
    </w:p>
    <w:p>
      <w:pPr>
        <w:spacing w:after="160"/>
      </w:pPr>
      <w:r>
        <w:rPr>
          <w:b/>
          <w:color w:val="1F497D"/>
        </w:rPr>
        <w:t xml:space="preserve">Phase 9: Stacked model: </w:t>
      </w:r>
      <w:r>
        <w:rPr>
          <w:sz w:val="22"/>
        </w:rPr>
        <w:t>Added CarenR_Dist_Stack (in-sample CarenR predictions + lag regression meta-learner). Fixed singular regression when caren_has_signal=FALSE. Fixed n_test=1 matrix dimension error with do.call(cbind, lapply(...)). Best R² (0.27) among all variants.</w:t>
      </w:r>
    </w:p>
    <w:p>
      <w:pPr>
        <w:spacing w:after="160"/>
      </w:pPr>
      <w:r>
        <w:rPr>
          <w:b/>
          <w:color w:val="1F497D"/>
        </w:rPr>
        <w:t xml:space="preserve">Phase 10: Conclusions and documentation: </w:t>
      </w:r>
      <w:r>
        <w:rPr>
          <w:sz w:val="22"/>
        </w:rPr>
        <w:t>Synthesised all results, established honest conclusions, framed the predictive negative result as a positive knowledge-discovery finding. Generated this document.</w:t>
      </w:r>
    </w:p>
    <w:p/>
    <w:p>
      <w:pPr>
        <w:pStyle w:val="Heading1"/>
      </w:pPr>
      <w:r>
        <w:rPr>
          <w:color w:val="1F497D"/>
        </w:rPr>
        <w:t>Appendix B: Output Files Reference</w:t>
      </w:r>
    </w:p>
    <w:tbl>
      <w:tblPr>
        <w:tblStyle w:val="TableGrid"/>
        <w:tblW w:type="auto" w:w="0"/>
        <w:jc w:val="center"/>
        <w:tblLook w:firstColumn="1" w:firstRow="1" w:lastColumn="0" w:lastRow="0" w:noHBand="0" w:noVBand="1" w:val="04A0"/>
      </w:tblPr>
      <w:tblGrid>
        <w:gridCol w:w="4513"/>
        <w:gridCol w:w="4513"/>
      </w:tblGrid>
      <w:tr>
        <w:tc>
          <w:tcPr>
            <w:tcW w:type="dxa" w:w="3600"/>
            <w:shd w:val="clear" w:color="auto" w:fill="1F497D"/>
          </w:tcPr>
          <w:p>
            <w:pPr>
              <w:jc w:val="center"/>
            </w:pPr>
            <w:r>
              <w:rPr>
                <w:b/>
                <w:color w:val="FFFFFF"/>
                <w:sz w:val="20"/>
              </w:rPr>
              <w:t>File Path</w:t>
            </w:r>
          </w:p>
        </w:tc>
        <w:tc>
          <w:tcPr>
            <w:tcW w:type="dxa" w:w="5760"/>
            <w:shd w:val="clear" w:color="auto" w:fill="1F497D"/>
          </w:tcPr>
          <w:p>
            <w:pPr>
              <w:jc w:val="center"/>
            </w:pPr>
            <w:r>
              <w:rPr>
                <w:b/>
                <w:color w:val="FFFFFF"/>
                <w:sz w:val="20"/>
              </w:rPr>
              <w:t>Description</w:t>
            </w:r>
          </w:p>
        </w:tc>
      </w:tr>
      <w:tr>
        <w:tc>
          <w:tcPr>
            <w:tcW w:type="dxa" w:w="3600"/>
            <w:shd w:val="clear" w:color="auto" w:fill="F5F8FF"/>
          </w:tcPr>
          <w:p>
            <w:r>
              <w:rPr>
                <w:rFonts w:ascii="Courier New" w:hAnsi="Courier New"/>
                <w:sz w:val="18"/>
              </w:rPr>
              <w:t>src/rscripts/6_scenario_validation.R</w:t>
            </w:r>
          </w:p>
        </w:tc>
        <w:tc>
          <w:tcPr>
            <w:tcW w:type="dxa" w:w="5760"/>
            <w:shd w:val="clear" w:color="auto" w:fill="F5F8FF"/>
          </w:tcPr>
          <w:p>
            <w:r>
              <w:rPr>
                <w:sz w:val="20"/>
              </w:rPr>
              <w:t>Main pipeline script. Walk-forward validation, all 14 models, metrics computation, CSV export.</w:t>
            </w:r>
          </w:p>
        </w:tc>
      </w:tr>
      <w:tr>
        <w:tc>
          <w:tcPr>
            <w:tcW w:type="dxa" w:w="3600"/>
            <w:shd w:val="clear" w:color="auto" w:fill="FFFFFF"/>
          </w:tcPr>
          <w:p>
            <w:r>
              <w:rPr>
                <w:rFonts w:ascii="Courier New" w:hAnsi="Courier New"/>
                <w:sz w:val="18"/>
              </w:rPr>
              <w:t>src/rscripts/utils/config.R</w:t>
            </w:r>
          </w:p>
        </w:tc>
        <w:tc>
          <w:tcPr>
            <w:tcW w:type="dxa" w:w="5760"/>
            <w:shd w:val="clear" w:color="auto" w:fill="FFFFFF"/>
          </w:tcPr>
          <w:p>
            <w:r>
              <w:rPr>
                <w:sz w:val="20"/>
              </w:rPr>
              <w:t>Shared configuration parameters (detrend=TRUE, n_folds=10, seed=42, loess_span=0.75).</w:t>
            </w:r>
          </w:p>
        </w:tc>
      </w:tr>
      <w:tr>
        <w:tc>
          <w:tcPr>
            <w:tcW w:type="dxa" w:w="3600"/>
            <w:shd w:val="clear" w:color="auto" w:fill="F5F8FF"/>
          </w:tcPr>
          <w:p>
            <w:r>
              <w:rPr>
                <w:rFonts w:ascii="Courier New" w:hAnsi="Courier New"/>
                <w:sz w:val="18"/>
              </w:rPr>
              <w:t>src/rscripts/4_ripper_pipeline.R</w:t>
            </w:r>
          </w:p>
        </w:tc>
        <w:tc>
          <w:tcPr>
            <w:tcW w:type="dxa" w:w="5760"/>
            <w:shd w:val="clear" w:color="auto" w:fill="F5F8FF"/>
          </w:tcPr>
          <w:p>
            <w:r>
              <w:rPr>
                <w:sz w:val="20"/>
              </w:rPr>
              <w:t>RIPPER pipeline, aligned to 4 quartile bins (Q1–Q4), dynamic threshold columns.</w:t>
            </w:r>
          </w:p>
        </w:tc>
      </w:tr>
      <w:tr>
        <w:tc>
          <w:tcPr>
            <w:tcW w:type="dxa" w:w="3600"/>
            <w:shd w:val="clear" w:color="auto" w:fill="FFFFFF"/>
          </w:tcPr>
          <w:p>
            <w:r>
              <w:rPr>
                <w:rFonts w:ascii="Courier New" w:hAnsi="Courier New"/>
                <w:sz w:val="18"/>
              </w:rPr>
              <w:t>data/linear/scenario_summary_rvv.csv</w:t>
            </w:r>
          </w:p>
        </w:tc>
        <w:tc>
          <w:tcPr>
            <w:tcW w:type="dxa" w:w="5760"/>
            <w:shd w:val="clear" w:color="auto" w:fill="FFFFFF"/>
          </w:tcPr>
          <w:p>
            <w:r>
              <w:rPr>
                <w:sz w:val="20"/>
              </w:rPr>
              <w:t>Aggregate results: one row per model, columns: model, mean_mae, sd_mae, weighted_mae, mean_r2.</w:t>
            </w:r>
          </w:p>
        </w:tc>
      </w:tr>
      <w:tr>
        <w:tc>
          <w:tcPr>
            <w:tcW w:type="dxa" w:w="3600"/>
            <w:shd w:val="clear" w:color="auto" w:fill="F5F8FF"/>
          </w:tcPr>
          <w:p>
            <w:r>
              <w:rPr>
                <w:rFonts w:ascii="Courier New" w:hAnsi="Courier New"/>
                <w:sz w:val="18"/>
              </w:rPr>
              <w:t>docs/experiment_log.docx</w:t>
            </w:r>
          </w:p>
        </w:tc>
        <w:tc>
          <w:tcPr>
            <w:tcW w:type="dxa" w:w="5760"/>
            <w:shd w:val="clear" w:color="auto" w:fill="F5F8FF"/>
          </w:tcPr>
          <w:p>
            <w:r>
              <w:rPr>
                <w:sz w:val="20"/>
              </w:rPr>
              <w:t>This document.</w:t>
            </w:r>
          </w:p>
        </w:tc>
      </w:tr>
    </w:tbl>
    <w:p/>
    <w:p>
      <w:pPr>
        <w:pStyle w:val="Heading2"/>
      </w:pPr>
      <w:r>
        <w:rPr>
          <w:color w:val="1F497D"/>
        </w:rPr>
        <w:t>Key Configuration Parameters</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val="clear" w:color="auto" w:fill="1F497D"/>
          </w:tcPr>
          <w:p>
            <w:pPr>
              <w:jc w:val="center"/>
            </w:pPr>
            <w:r>
              <w:rPr>
                <w:b/>
                <w:color w:val="FFFFFF"/>
                <w:sz w:val="20"/>
              </w:rPr>
              <w:t>Parameter</w:t>
            </w:r>
          </w:p>
        </w:tc>
        <w:tc>
          <w:tcPr>
            <w:tcW w:type="dxa" w:w="1440"/>
            <w:shd w:val="clear" w:color="auto" w:fill="1F497D"/>
          </w:tcPr>
          <w:p>
            <w:pPr>
              <w:jc w:val="center"/>
            </w:pPr>
            <w:r>
              <w:rPr>
                <w:b/>
                <w:color w:val="FFFFFF"/>
                <w:sz w:val="20"/>
              </w:rPr>
              <w:t>Value</w:t>
            </w:r>
          </w:p>
        </w:tc>
        <w:tc>
          <w:tcPr>
            <w:tcW w:type="dxa" w:w="5328"/>
            <w:shd w:val="clear" w:color="auto" w:fill="1F497D"/>
          </w:tcPr>
          <w:p>
            <w:pPr>
              <w:jc w:val="center"/>
            </w:pPr>
            <w:r>
              <w:rPr>
                <w:b/>
                <w:color w:val="FFFFFF"/>
                <w:sz w:val="20"/>
              </w:rPr>
              <w:t>Description</w:t>
            </w:r>
          </w:p>
        </w:tc>
      </w:tr>
      <w:tr>
        <w:tc>
          <w:tcPr>
            <w:tcW w:type="dxa" w:w="2592"/>
            <w:shd w:val="clear" w:color="auto" w:fill="F5F8FF"/>
          </w:tcPr>
          <w:p>
            <w:r>
              <w:rPr>
                <w:rFonts w:ascii="Courier New" w:hAnsi="Courier New"/>
                <w:b/>
                <w:sz w:val="18"/>
              </w:rPr>
              <w:t>n_bins</w:t>
            </w:r>
          </w:p>
        </w:tc>
        <w:tc>
          <w:tcPr>
            <w:tcW w:type="dxa" w:w="1440"/>
            <w:shd w:val="clear" w:color="auto" w:fill="F5F8FF"/>
          </w:tcPr>
          <w:p>
            <w:pPr>
              <w:jc w:val="center"/>
            </w:pPr>
            <w:r>
              <w:rPr>
                <w:rFonts w:ascii="Courier New" w:hAnsi="Courier New"/>
                <w:sz w:val="18"/>
              </w:rPr>
              <w:t>4</w:t>
            </w:r>
          </w:p>
        </w:tc>
        <w:tc>
          <w:tcPr>
            <w:tcW w:type="dxa" w:w="5328"/>
            <w:shd w:val="clear" w:color="auto" w:fill="F5F8FF"/>
          </w:tcPr>
          <w:p>
            <w:r>
              <w:rPr>
                <w:sz w:val="20"/>
              </w:rPr>
              <w:t>Number of quartile bins for discretization</w:t>
            </w:r>
          </w:p>
        </w:tc>
      </w:tr>
      <w:tr>
        <w:tc>
          <w:tcPr>
            <w:tcW w:type="dxa" w:w="2592"/>
            <w:shd w:val="clear" w:color="auto" w:fill="FFFFFF"/>
          </w:tcPr>
          <w:p>
            <w:r>
              <w:rPr>
                <w:rFonts w:ascii="Courier New" w:hAnsi="Courier New"/>
                <w:b/>
                <w:sz w:val="18"/>
              </w:rPr>
              <w:t>carenr_min_sup</w:t>
            </w:r>
          </w:p>
        </w:tc>
        <w:tc>
          <w:tcPr>
            <w:tcW w:type="dxa" w:w="1440"/>
            <w:shd w:val="clear" w:color="auto" w:fill="FFFFFF"/>
          </w:tcPr>
          <w:p>
            <w:pPr>
              <w:jc w:val="center"/>
            </w:pPr>
            <w:r>
              <w:rPr>
                <w:rFonts w:ascii="Courier New" w:hAnsi="Courier New"/>
                <w:sz w:val="18"/>
              </w:rPr>
              <w:t>0.2</w:t>
            </w:r>
          </w:p>
        </w:tc>
        <w:tc>
          <w:tcPr>
            <w:tcW w:type="dxa" w:w="5328"/>
            <w:shd w:val="clear" w:color="auto" w:fill="FFFFFF"/>
          </w:tcPr>
          <w:p>
            <w:r>
              <w:rPr>
                <w:sz w:val="20"/>
              </w:rPr>
              <w:t>Default minimum support for CAREN</w:t>
            </w:r>
          </w:p>
        </w:tc>
      </w:tr>
      <w:tr>
        <w:tc>
          <w:tcPr>
            <w:tcW w:type="dxa" w:w="2592"/>
            <w:shd w:val="clear" w:color="auto" w:fill="F5F8FF"/>
          </w:tcPr>
          <w:p>
            <w:r>
              <w:rPr>
                <w:rFonts w:ascii="Courier New" w:hAnsi="Courier New"/>
                <w:b/>
                <w:sz w:val="18"/>
              </w:rPr>
              <w:t>carenr_min_sup_hi</w:t>
            </w:r>
          </w:p>
        </w:tc>
        <w:tc>
          <w:tcPr>
            <w:tcW w:type="dxa" w:w="1440"/>
            <w:shd w:val="clear" w:color="auto" w:fill="F5F8FF"/>
          </w:tcPr>
          <w:p>
            <w:pPr>
              <w:jc w:val="center"/>
            </w:pPr>
            <w:r>
              <w:rPr>
                <w:rFonts w:ascii="Courier New" w:hAnsi="Courier New"/>
                <w:sz w:val="18"/>
              </w:rPr>
              <w:t>0.3</w:t>
            </w:r>
          </w:p>
        </w:tc>
        <w:tc>
          <w:tcPr>
            <w:tcW w:type="dxa" w:w="5328"/>
            <w:shd w:val="clear" w:color="auto" w:fill="F5F8FF"/>
          </w:tcPr>
          <w:p>
            <w:r>
              <w:rPr>
                <w:sz w:val="20"/>
              </w:rPr>
              <w:t>Higher minimum support for Sup variants</w:t>
            </w:r>
          </w:p>
        </w:tc>
      </w:tr>
      <w:tr>
        <w:tc>
          <w:tcPr>
            <w:tcW w:type="dxa" w:w="2592"/>
            <w:shd w:val="clear" w:color="auto" w:fill="FFFFFF"/>
          </w:tcPr>
          <w:p>
            <w:r>
              <w:rPr>
                <w:rFonts w:ascii="Courier New" w:hAnsi="Courier New"/>
                <w:b/>
                <w:sz w:val="18"/>
              </w:rPr>
              <w:t>carenr_min_conf</w:t>
            </w:r>
          </w:p>
        </w:tc>
        <w:tc>
          <w:tcPr>
            <w:tcW w:type="dxa" w:w="1440"/>
            <w:shd w:val="clear" w:color="auto" w:fill="FFFFFF"/>
          </w:tcPr>
          <w:p>
            <w:pPr>
              <w:jc w:val="center"/>
            </w:pPr>
            <w:r>
              <w:rPr>
                <w:rFonts w:ascii="Courier New" w:hAnsi="Courier New"/>
                <w:sz w:val="18"/>
              </w:rPr>
              <w:t>0.1</w:t>
            </w:r>
          </w:p>
        </w:tc>
        <w:tc>
          <w:tcPr>
            <w:tcW w:type="dxa" w:w="5328"/>
            <w:shd w:val="clear" w:color="auto" w:fill="FFFFFF"/>
          </w:tcPr>
          <w:p>
            <w:r>
              <w:rPr>
                <w:sz w:val="20"/>
              </w:rPr>
              <w:t>Minimum confidence for CAREN rules</w:t>
            </w:r>
          </w:p>
        </w:tc>
      </w:tr>
      <w:tr>
        <w:tc>
          <w:tcPr>
            <w:tcW w:type="dxa" w:w="2592"/>
            <w:shd w:val="clear" w:color="auto" w:fill="F5F8FF"/>
          </w:tcPr>
          <w:p>
            <w:r>
              <w:rPr>
                <w:rFonts w:ascii="Courier New" w:hAnsi="Courier New"/>
                <w:b/>
                <w:sz w:val="18"/>
              </w:rPr>
              <w:t>carenr_n_features</w:t>
            </w:r>
          </w:p>
        </w:tc>
        <w:tc>
          <w:tcPr>
            <w:tcW w:type="dxa" w:w="1440"/>
            <w:shd w:val="clear" w:color="auto" w:fill="F5F8FF"/>
          </w:tcPr>
          <w:p>
            <w:pPr>
              <w:jc w:val="center"/>
            </w:pPr>
            <w:r>
              <w:rPr>
                <w:rFonts w:ascii="Courier New" w:hAnsi="Courier New"/>
                <w:sz w:val="18"/>
              </w:rPr>
              <w:t>15</w:t>
            </w:r>
          </w:p>
        </w:tc>
        <w:tc>
          <w:tcPr>
            <w:tcW w:type="dxa" w:w="5328"/>
            <w:shd w:val="clear" w:color="auto" w:fill="F5F8FF"/>
          </w:tcPr>
          <w:p>
            <w:r>
              <w:rPr>
                <w:sz w:val="20"/>
              </w:rPr>
              <w:t>Top-N features for FS and Eta2 selection</w:t>
            </w:r>
          </w:p>
        </w:tc>
      </w:tr>
      <w:tr>
        <w:tc>
          <w:tcPr>
            <w:tcW w:type="dxa" w:w="2592"/>
            <w:shd w:val="clear" w:color="auto" w:fill="FFFFFF"/>
          </w:tcPr>
          <w:p>
            <w:r>
              <w:rPr>
                <w:rFonts w:ascii="Courier New" w:hAnsi="Courier New"/>
                <w:b/>
                <w:sz w:val="18"/>
              </w:rPr>
              <w:t>carenr_cor_thresh</w:t>
            </w:r>
          </w:p>
        </w:tc>
        <w:tc>
          <w:tcPr>
            <w:tcW w:type="dxa" w:w="1440"/>
            <w:shd w:val="clear" w:color="auto" w:fill="FFFFFF"/>
          </w:tcPr>
          <w:p>
            <w:pPr>
              <w:jc w:val="center"/>
            </w:pPr>
            <w:r>
              <w:rPr>
                <w:rFonts w:ascii="Courier New" w:hAnsi="Courier New"/>
                <w:sz w:val="18"/>
              </w:rPr>
              <w:t>0.30</w:t>
            </w:r>
          </w:p>
        </w:tc>
        <w:tc>
          <w:tcPr>
            <w:tcW w:type="dxa" w:w="5328"/>
            <w:shd w:val="clear" w:color="auto" w:fill="FFFFFF"/>
          </w:tcPr>
          <w:p>
            <w:r>
              <w:rPr>
                <w:sz w:val="20"/>
              </w:rPr>
              <w:t>Pearson |r| threshold for Thresh variants</w:t>
            </w:r>
          </w:p>
        </w:tc>
      </w:tr>
      <w:tr>
        <w:tc>
          <w:tcPr>
            <w:tcW w:type="dxa" w:w="2592"/>
            <w:shd w:val="clear" w:color="auto" w:fill="F5F8FF"/>
          </w:tcPr>
          <w:p>
            <w:r>
              <w:rPr>
                <w:rFonts w:ascii="Courier New" w:hAnsi="Courier New"/>
                <w:b/>
                <w:sz w:val="18"/>
              </w:rPr>
              <w:t>carenr_jvm_mb</w:t>
            </w:r>
          </w:p>
        </w:tc>
        <w:tc>
          <w:tcPr>
            <w:tcW w:type="dxa" w:w="1440"/>
            <w:shd w:val="clear" w:color="auto" w:fill="F5F8FF"/>
          </w:tcPr>
          <w:p>
            <w:pPr>
              <w:jc w:val="center"/>
            </w:pPr>
            <w:r>
              <w:rPr>
                <w:rFonts w:ascii="Courier New" w:hAnsi="Courier New"/>
                <w:sz w:val="18"/>
              </w:rPr>
              <w:t>4000M</w:t>
            </w:r>
          </w:p>
        </w:tc>
        <w:tc>
          <w:tcPr>
            <w:tcW w:type="dxa" w:w="5328"/>
            <w:shd w:val="clear" w:color="auto" w:fill="F5F8FF"/>
          </w:tcPr>
          <w:p>
            <w:r>
              <w:rPr>
                <w:sz w:val="20"/>
              </w:rPr>
              <w:t>JVM memory for CAREN Java engine</w:t>
            </w:r>
          </w:p>
        </w:tc>
      </w:tr>
      <w:tr>
        <w:tc>
          <w:tcPr>
            <w:tcW w:type="dxa" w:w="2592"/>
            <w:shd w:val="clear" w:color="auto" w:fill="FFFFFF"/>
          </w:tcPr>
          <w:p>
            <w:r>
              <w:rPr>
                <w:rFonts w:ascii="Courier New" w:hAnsi="Courier New"/>
                <w:b/>
                <w:sz w:val="18"/>
              </w:rPr>
              <w:t>carenr_strategy</w:t>
            </w:r>
          </w:p>
        </w:tc>
        <w:tc>
          <w:tcPr>
            <w:tcW w:type="dxa" w:w="1440"/>
            <w:shd w:val="clear" w:color="auto" w:fill="FFFFFF"/>
          </w:tcPr>
          <w:p>
            <w:pPr>
              <w:jc w:val="center"/>
            </w:pPr>
            <w:r>
              <w:rPr>
                <w:rFonts w:ascii="Courier New" w:hAnsi="Courier New"/>
                <w:sz w:val="18"/>
              </w:rPr>
              <w:t>'C'</w:t>
            </w:r>
          </w:p>
        </w:tc>
        <w:tc>
          <w:tcPr>
            <w:tcW w:type="dxa" w:w="5328"/>
            <w:shd w:val="clear" w:color="auto" w:fill="FFFFFF"/>
          </w:tcPr>
          <w:p>
            <w:r>
              <w:rPr>
                <w:sz w:val="20"/>
              </w:rPr>
              <w:t>Aggregation strategy (C=support-weighted)</w:t>
            </w:r>
          </w:p>
        </w:tc>
      </w:tr>
      <w:tr>
        <w:tc>
          <w:tcPr>
            <w:tcW w:type="dxa" w:w="2592"/>
            <w:shd w:val="clear" w:color="auto" w:fill="F5F8FF"/>
          </w:tcPr>
          <w:p>
            <w:r>
              <w:rPr>
                <w:rFonts w:ascii="Courier New" w:hAnsi="Courier New"/>
                <w:b/>
                <w:sz w:val="18"/>
              </w:rPr>
              <w:t>carenr_min_subgroup</w:t>
            </w:r>
          </w:p>
        </w:tc>
        <w:tc>
          <w:tcPr>
            <w:tcW w:type="dxa" w:w="1440"/>
            <w:shd w:val="clear" w:color="auto" w:fill="F5F8FF"/>
          </w:tcPr>
          <w:p>
            <w:pPr>
              <w:jc w:val="center"/>
            </w:pPr>
            <w:r>
              <w:rPr>
                <w:rFonts w:ascii="Courier New" w:hAnsi="Courier New"/>
                <w:sz w:val="18"/>
              </w:rPr>
              <w:t>3</w:t>
            </w:r>
          </w:p>
        </w:tc>
        <w:tc>
          <w:tcPr>
            <w:tcW w:type="dxa" w:w="5328"/>
            <w:shd w:val="clear" w:color="auto" w:fill="F5F8FF"/>
          </w:tcPr>
          <w:p>
            <w:r>
              <w:rPr>
                <w:sz w:val="20"/>
              </w:rPr>
              <w:t>Minimum observations for a matching subgroup</w:t>
            </w:r>
          </w:p>
        </w:tc>
      </w:tr>
      <w:tr>
        <w:tc>
          <w:tcPr>
            <w:tcW w:type="dxa" w:w="2592"/>
            <w:shd w:val="clear" w:color="auto" w:fill="FFFFFF"/>
          </w:tcPr>
          <w:p>
            <w:r>
              <w:rPr>
                <w:rFonts w:ascii="Courier New" w:hAnsi="Courier New"/>
                <w:b/>
                <w:sz w:val="18"/>
              </w:rPr>
              <w:t>carenr_agg_fn</w:t>
            </w:r>
          </w:p>
        </w:tc>
        <w:tc>
          <w:tcPr>
            <w:tcW w:type="dxa" w:w="1440"/>
            <w:shd w:val="clear" w:color="auto" w:fill="FFFFFF"/>
          </w:tcPr>
          <w:p>
            <w:pPr>
              <w:jc w:val="center"/>
            </w:pPr>
            <w:r>
              <w:rPr>
                <w:rFonts w:ascii="Courier New" w:hAnsi="Courier New"/>
                <w:sz w:val="18"/>
              </w:rPr>
              <w:t>'median'</w:t>
            </w:r>
          </w:p>
        </w:tc>
        <w:tc>
          <w:tcPr>
            <w:tcW w:type="dxa" w:w="5328"/>
            <w:shd w:val="clear" w:color="auto" w:fill="FFFFFF"/>
          </w:tcPr>
          <w:p>
            <w:r>
              <w:rPr>
                <w:sz w:val="20"/>
              </w:rPr>
              <w:t>Subgroup aggregation function (median or mean)</w:t>
            </w:r>
          </w:p>
        </w:tc>
      </w:tr>
      <w:tr>
        <w:tc>
          <w:tcPr>
            <w:tcW w:type="dxa" w:w="2592"/>
            <w:shd w:val="clear" w:color="auto" w:fill="F5F8FF"/>
          </w:tcPr>
          <w:p>
            <w:r>
              <w:rPr>
                <w:rFonts w:ascii="Courier New" w:hAnsi="Courier New"/>
                <w:b/>
                <w:sz w:val="18"/>
              </w:rPr>
              <w:t>carenr_lag_max</w:t>
            </w:r>
          </w:p>
        </w:tc>
        <w:tc>
          <w:tcPr>
            <w:tcW w:type="dxa" w:w="1440"/>
            <w:shd w:val="clear" w:color="auto" w:fill="F5F8FF"/>
          </w:tcPr>
          <w:p>
            <w:pPr>
              <w:jc w:val="center"/>
            </w:pPr>
            <w:r>
              <w:rPr>
                <w:rFonts w:ascii="Courier New" w:hAnsi="Courier New"/>
                <w:sz w:val="18"/>
              </w:rPr>
              <w:t>5</w:t>
            </w:r>
          </w:p>
        </w:tc>
        <w:tc>
          <w:tcPr>
            <w:tcW w:type="dxa" w:w="5328"/>
            <w:shd w:val="clear" w:color="auto" w:fill="F5F8FF"/>
          </w:tcPr>
          <w:p>
            <w:r>
              <w:rPr>
                <w:sz w:val="20"/>
              </w:rPr>
              <w:t>Maximum lag for ACF analysis</w:t>
            </w:r>
          </w:p>
        </w:tc>
      </w:tr>
      <w:tr>
        <w:tc>
          <w:tcPr>
            <w:tcW w:type="dxa" w:w="2592"/>
            <w:shd w:val="clear" w:color="auto" w:fill="FFFFFF"/>
          </w:tcPr>
          <w:p>
            <w:r>
              <w:rPr>
                <w:rFonts w:ascii="Courier New" w:hAnsi="Courier New"/>
                <w:b/>
                <w:sz w:val="18"/>
              </w:rPr>
              <w:t>naive_ma_window</w:t>
            </w:r>
          </w:p>
        </w:tc>
        <w:tc>
          <w:tcPr>
            <w:tcW w:type="dxa" w:w="1440"/>
            <w:shd w:val="clear" w:color="auto" w:fill="FFFFFF"/>
          </w:tcPr>
          <w:p>
            <w:pPr>
              <w:jc w:val="center"/>
            </w:pPr>
            <w:r>
              <w:rPr>
                <w:rFonts w:ascii="Courier New" w:hAnsi="Courier New"/>
                <w:sz w:val="18"/>
              </w:rPr>
              <w:t>10</w:t>
            </w:r>
          </w:p>
        </w:tc>
        <w:tc>
          <w:tcPr>
            <w:tcW w:type="dxa" w:w="5328"/>
            <w:shd w:val="clear" w:color="auto" w:fill="FFFFFF"/>
          </w:tcPr>
          <w:p>
            <w:r>
              <w:rPr>
                <w:sz w:val="20"/>
              </w:rPr>
              <w:t>Window size for Naive_MA baseline</w:t>
            </w:r>
          </w:p>
        </w:tc>
      </w:tr>
    </w:tbl>
    <w:p/>
    <w:p>
      <w:pPr>
        <w:pStyle w:val="Heading1"/>
      </w:pPr>
      <w:r>
        <w:rPr>
          <w:color w:val="1F497D"/>
        </w:rPr>
        <w:t>Appendix C: Final Remarks for Thesis Writing</w:t>
      </w:r>
    </w:p>
    <w:p>
      <w:r>
        <w:rPr>
          <w:b w:val="0"/>
          <w:i w:val="0"/>
          <w:sz w:val="22"/>
        </w:rPr>
        <w:t>When writing the thesis, the following framing is recommended:</w:t>
      </w:r>
    </w:p>
    <w:p>
      <w:pPr>
        <w:pStyle w:val="ListBullet"/>
      </w:pPr>
      <w:r>
        <w:rPr>
          <w:sz w:val="22"/>
        </w:rPr>
        <w:t>Present the walk-forward validation framework as a methodological contribution — fold-correct detrending, scenario-based evaluation, and multi-metric reporting are all best practices that go beyond a simple train/test split.</w:t>
      </w:r>
    </w:p>
    <w:p>
      <w:pPr>
        <w:pStyle w:val="ListBullet"/>
      </w:pPr>
      <w:r>
        <w:rPr>
          <w:sz w:val="22"/>
        </w:rPr>
        <w:t>Present CarenR's advantage over DT/RIPPER/M5Rules as evidence that subgroup discovery rules are more useful than discriminative rules for this type of predictive task — despite being designed for different goals.</w:t>
      </w:r>
    </w:p>
    <w:p>
      <w:pPr>
        <w:pStyle w:val="ListBullet"/>
      </w:pPr>
      <w:r>
        <w:rPr>
          <w:sz w:val="22"/>
        </w:rPr>
        <w:t>The failure to beat Naive_Median should be framed as a domain finding, not a model failure: 'The median detrended production of the past N years is the best single-number predictor of future production — this confirms the high year-to-year variability of the system and the limited short-term predictive power of climate variables alone.'</w:t>
      </w:r>
    </w:p>
    <w:p>
      <w:pPr>
        <w:pStyle w:val="ListBullet"/>
      </w:pPr>
      <w:r>
        <w:rPr>
          <w:sz w:val="22"/>
        </w:rPr>
        <w:t>The stack model's R² = 0.27 is the headline predictive result: 'By combining climate rules (CarenR) with production memory (lag-3 and lag-5), we explain 27% of variance in future production — a meaningful improvement over either component alone.'</w:t>
      </w:r>
    </w:p>
    <w:p>
      <w:pPr>
        <w:pStyle w:val="ListBullet"/>
      </w:pPr>
      <w:r>
        <w:rPr>
          <w:sz w:val="22"/>
        </w:rPr>
        <w:t>The ACF finding (lags 3 and 5) is a domain discovery worth discussing in the viticulture context — it may reflect vine replanting cycles or other multi-year agronomic processes.</w:t>
      </w:r>
    </w:p>
    <w:p>
      <w:pPr>
        <w:pStyle w:val="ListBullet"/>
      </w:pPr>
      <w:r>
        <w:rPr>
          <w:sz w:val="22"/>
        </w:rPr>
        <w:t>Recommended thesis metrics to report: Weighted MAE as primary, Mean R² for the stack model, SD MAE for stability. Include a note on why weighted MAE is preferred.</w:t>
      </w:r>
    </w:p>
    <w:p/>
    <w:p/>
    <w:p>
      <w:pPr>
        <w:jc w:val="center"/>
      </w:pPr>
      <w:r>
        <w:rPr>
          <w:i/>
          <w:color w:val="808080"/>
          <w:sz w:val="18"/>
        </w:rPr>
        <w:t>Generated from experiment session — Predictive Scenario Validation Pipeline — May 2026</w:t>
      </w:r>
    </w:p>
    <w:p>
      <w:r>
        <w:br w:type="page"/>
      </w:r>
    </w:p>
    <w:p>
      <w:pPr>
        <w:pStyle w:val="Heading2"/>
      </w:pPr>
      <w:r>
        <w:rPr>
          <w:color w:val="1F497D"/>
        </w:rPr>
        <w:t>8.7  Error Scale Context — What Does 200 mhl Mean?</w:t>
      </w:r>
    </w:p>
    <w:p>
      <w:r>
        <w:rPr>
          <w:b w:val="0"/>
          <w:i w:val="0"/>
          <w:sz w:val="22"/>
        </w:rPr>
        <w:t>After examining the results purely in absolute MAE, a natural question is: are these errors large or small in the context of the actual wine production values? The answer depends critically on which time period you look at.</w:t>
      </w:r>
    </w:p>
    <w:p>
      <w:r>
        <w:rPr>
          <w:b/>
          <w:i w:val="0"/>
          <w:sz w:val="22"/>
        </w:rPr>
        <w:t>Full series statistics (RVV, 1942–2021, n = 80 years):</w:t>
      </w:r>
    </w:p>
    <w:tbl>
      <w:tblPr>
        <w:tblStyle w:val="TableGrid"/>
        <w:tblW w:type="auto" w:w="0"/>
        <w:jc w:val="center"/>
        <w:tblLook w:firstColumn="1" w:firstRow="1" w:lastColumn="0" w:lastRow="0" w:noHBand="0" w:noVBand="1" w:val="04A0"/>
      </w:tblPr>
      <w:tblGrid>
        <w:gridCol w:w="4513"/>
        <w:gridCol w:w="4513"/>
      </w:tblGrid>
      <w:tr>
        <w:tc>
          <w:tcPr>
            <w:tcW w:type="dxa" w:w="4320"/>
            <w:shd w:val="clear" w:color="auto" w:fill="1F497D"/>
          </w:tcPr>
          <w:p>
            <w:r>
              <w:rPr>
                <w:b/>
                <w:color w:val="FFFFFF"/>
                <w:sz w:val="20"/>
              </w:rPr>
              <w:t>Statistic</w:t>
            </w:r>
          </w:p>
        </w:tc>
        <w:tc>
          <w:tcPr>
            <w:tcW w:type="dxa" w:w="2160"/>
            <w:shd w:val="clear" w:color="auto" w:fill="1F497D"/>
          </w:tcPr>
          <w:p>
            <w:r>
              <w:rPr>
                <w:b/>
                <w:color w:val="FFFFFF"/>
                <w:sz w:val="20"/>
              </w:rPr>
              <w:t>Value</w:t>
            </w:r>
          </w:p>
        </w:tc>
      </w:tr>
      <w:tr>
        <w:tc>
          <w:tcPr>
            <w:tcW w:type="dxa" w:w="4320"/>
            <w:shd w:val="clear" w:color="auto" w:fill="F5F8FF"/>
          </w:tcPr>
          <w:p>
            <w:r>
              <w:rPr>
                <w:sz w:val="20"/>
              </w:rPr>
              <w:t>Mean production</w:t>
            </w:r>
          </w:p>
        </w:tc>
        <w:tc>
          <w:tcPr>
            <w:tcW w:type="dxa" w:w="2160"/>
            <w:shd w:val="clear" w:color="auto" w:fill="F5F8FF"/>
          </w:tcPr>
          <w:p>
            <w:pPr>
              <w:jc w:val="center"/>
            </w:pPr>
            <w:r>
              <w:rPr>
                <w:sz w:val="20"/>
              </w:rPr>
              <w:t>1,621 mhl</w:t>
            </w:r>
          </w:p>
        </w:tc>
      </w:tr>
      <w:tr>
        <w:tc>
          <w:tcPr>
            <w:tcW w:type="dxa" w:w="4320"/>
            <w:shd w:val="clear" w:color="auto" w:fill="FFFFFF"/>
          </w:tcPr>
          <w:p>
            <w:r>
              <w:rPr>
                <w:sz w:val="20"/>
              </w:rPr>
              <w:t>Median production</w:t>
            </w:r>
          </w:p>
        </w:tc>
        <w:tc>
          <w:tcPr>
            <w:tcW w:type="dxa" w:w="2160"/>
            <w:shd w:val="clear" w:color="auto" w:fill="FFFFFF"/>
          </w:tcPr>
          <w:p>
            <w:pPr>
              <w:jc w:val="center"/>
            </w:pPr>
            <w:r>
              <w:rPr>
                <w:sz w:val="20"/>
              </w:rPr>
              <w:t>1,611 mhl</w:t>
            </w:r>
          </w:p>
        </w:tc>
      </w:tr>
      <w:tr>
        <w:tc>
          <w:tcPr>
            <w:tcW w:type="dxa" w:w="4320"/>
            <w:shd w:val="clear" w:color="auto" w:fill="F5F8FF"/>
          </w:tcPr>
          <w:p>
            <w:r>
              <w:rPr>
                <w:sz w:val="20"/>
              </w:rPr>
              <w:t>Std deviation (SD)</w:t>
            </w:r>
          </w:p>
        </w:tc>
        <w:tc>
          <w:tcPr>
            <w:tcW w:type="dxa" w:w="2160"/>
            <w:shd w:val="clear" w:color="auto" w:fill="F5F8FF"/>
          </w:tcPr>
          <w:p>
            <w:pPr>
              <w:jc w:val="center"/>
            </w:pPr>
            <w:r>
              <w:rPr>
                <w:sz w:val="20"/>
              </w:rPr>
              <w:t>755 mhl</w:t>
            </w:r>
          </w:p>
        </w:tc>
      </w:tr>
      <w:tr>
        <w:tc>
          <w:tcPr>
            <w:tcW w:type="dxa" w:w="4320"/>
            <w:shd w:val="clear" w:color="auto" w:fill="FFFFFF"/>
          </w:tcPr>
          <w:p>
            <w:r>
              <w:rPr>
                <w:sz w:val="20"/>
              </w:rPr>
              <w:t>Coefficient of variation (CV)</w:t>
            </w:r>
          </w:p>
        </w:tc>
        <w:tc>
          <w:tcPr>
            <w:tcW w:type="dxa" w:w="2160"/>
            <w:shd w:val="clear" w:color="auto" w:fill="FFFFFF"/>
          </w:tcPr>
          <w:p>
            <w:pPr>
              <w:jc w:val="center"/>
            </w:pPr>
            <w:r>
              <w:rPr>
                <w:sz w:val="20"/>
              </w:rPr>
              <w:t>47%</w:t>
            </w:r>
          </w:p>
        </w:tc>
      </w:tr>
      <w:tr>
        <w:tc>
          <w:tcPr>
            <w:tcW w:type="dxa" w:w="4320"/>
            <w:shd w:val="clear" w:color="auto" w:fill="F5F8FF"/>
          </w:tcPr>
          <w:p>
            <w:r>
              <w:rPr>
                <w:sz w:val="20"/>
              </w:rPr>
              <w:t>Inter-quartile range (IQR)</w:t>
            </w:r>
          </w:p>
        </w:tc>
        <w:tc>
          <w:tcPr>
            <w:tcW w:type="dxa" w:w="2160"/>
            <w:shd w:val="clear" w:color="auto" w:fill="F5F8FF"/>
          </w:tcPr>
          <w:p>
            <w:pPr>
              <w:jc w:val="center"/>
            </w:pPr>
            <w:r>
              <w:rPr>
                <w:sz w:val="20"/>
              </w:rPr>
              <w:t>1,196 mhl</w:t>
            </w:r>
          </w:p>
        </w:tc>
      </w:tr>
      <w:tr>
        <w:tc>
          <w:tcPr>
            <w:tcW w:type="dxa" w:w="4320"/>
            <w:shd w:val="clear" w:color="auto" w:fill="FFFFFF"/>
          </w:tcPr>
          <w:p>
            <w:r>
              <w:rPr>
                <w:sz w:val="20"/>
              </w:rPr>
              <w:t>Min – Max</w:t>
            </w:r>
          </w:p>
        </w:tc>
        <w:tc>
          <w:tcPr>
            <w:tcW w:type="dxa" w:w="2160"/>
            <w:shd w:val="clear" w:color="auto" w:fill="FFFFFF"/>
          </w:tcPr>
          <w:p>
            <w:pPr>
              <w:jc w:val="center"/>
            </w:pPr>
            <w:r>
              <w:rPr>
                <w:sz w:val="20"/>
              </w:rPr>
              <w:t>494 – 3,443 mhl</w:t>
            </w:r>
          </w:p>
        </w:tc>
      </w:tr>
    </w:tbl>
    <w:p/>
    <w:p>
      <w:r>
        <w:rPr>
          <w:b w:val="0"/>
          <w:i w:val="0"/>
          <w:sz w:val="22"/>
        </w:rPr>
        <w:t>The full historical series is extremely volatile — a CV of 47% reflects the combined effect of long-term structural decline (production roughly halved from the 1960s to the 2000s) and very high year-to-year variability driven by climate. In this context, the MAE values (140–172 mhl) look small relative to the full historical range.</w:t>
      </w:r>
    </w:p>
    <w:p>
      <w:r>
        <w:rPr>
          <w:b w:val="0"/>
          <w:i w:val="0"/>
          <w:sz w:val="22"/>
        </w:rPr>
        <w:t>However, the test scenarios (2006–2021) all fall in a much narrower, lower-production era where annual values cluster around 700–1,000 mhl. In that context:</w:t>
      </w:r>
    </w:p>
    <w:p>
      <w:r>
        <w:rPr>
          <w:b/>
          <w:i w:val="0"/>
          <w:sz w:val="22"/>
        </w:rPr>
        <w:t>MAE as percentage of mean production in the test period (~800 mhl):</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592"/>
            <w:shd w:val="clear" w:color="auto" w:fill="1F497D"/>
          </w:tcPr>
          <w:p>
            <w:pPr>
              <w:jc w:val="center"/>
            </w:pPr>
            <w:r>
              <w:rPr>
                <w:b/>
                <w:color w:val="FFFFFF"/>
                <w:sz w:val="20"/>
              </w:rPr>
              <w:t>Model</w:t>
            </w:r>
          </w:p>
        </w:tc>
        <w:tc>
          <w:tcPr>
            <w:tcW w:type="dxa" w:w="1440"/>
            <w:shd w:val="clear" w:color="auto" w:fill="1F497D"/>
          </w:tcPr>
          <w:p>
            <w:pPr>
              <w:jc w:val="center"/>
            </w:pPr>
            <w:r>
              <w:rPr>
                <w:b/>
                <w:color w:val="FFFFFF"/>
                <w:sz w:val="20"/>
              </w:rPr>
              <w:t>Weighted MAE</w:t>
            </w:r>
          </w:p>
        </w:tc>
        <w:tc>
          <w:tcPr>
            <w:tcW w:type="dxa" w:w="1152"/>
            <w:shd w:val="clear" w:color="auto" w:fill="1F497D"/>
          </w:tcPr>
          <w:p>
            <w:pPr>
              <w:jc w:val="center"/>
            </w:pPr>
            <w:r>
              <w:rPr>
                <w:b/>
                <w:color w:val="FFFFFF"/>
                <w:sz w:val="20"/>
              </w:rPr>
              <w:t>% of actual</w:t>
            </w:r>
          </w:p>
        </w:tc>
        <w:tc>
          <w:tcPr>
            <w:tcW w:type="dxa" w:w="4320"/>
            <w:shd w:val="clear" w:color="auto" w:fill="1F497D"/>
          </w:tcPr>
          <w:p>
            <w:pPr>
              <w:jc w:val="center"/>
            </w:pPr>
            <w:r>
              <w:rPr>
                <w:b/>
                <w:color w:val="FFFFFF"/>
                <w:sz w:val="20"/>
              </w:rPr>
              <w:t>Notes</w:t>
            </w:r>
          </w:p>
        </w:tc>
      </w:tr>
      <w:tr>
        <w:tc>
          <w:tcPr>
            <w:tcW w:type="dxa" w:w="2592"/>
            <w:shd w:val="clear" w:color="auto" w:fill="FFF8E8"/>
          </w:tcPr>
          <w:p>
            <w:r>
              <w:rPr>
                <w:b/>
                <w:sz w:val="20"/>
              </w:rPr>
              <w:t>Naive (median)</w:t>
            </w:r>
          </w:p>
        </w:tc>
        <w:tc>
          <w:tcPr>
            <w:tcW w:type="dxa" w:w="1440"/>
            <w:shd w:val="clear" w:color="auto" w:fill="FFF8E8"/>
          </w:tcPr>
          <w:p>
            <w:pPr>
              <w:jc w:val="center"/>
            </w:pPr>
            <w:r>
              <w:rPr>
                <w:sz w:val="20"/>
              </w:rPr>
              <w:t>140 mhl</w:t>
            </w:r>
          </w:p>
        </w:tc>
        <w:tc>
          <w:tcPr>
            <w:tcW w:type="dxa" w:w="1152"/>
            <w:shd w:val="clear" w:color="auto" w:fill="FFF8E8"/>
          </w:tcPr>
          <w:p>
            <w:pPr>
              <w:jc w:val="center"/>
            </w:pPr>
            <w:r>
              <w:rPr>
                <w:sz w:val="20"/>
              </w:rPr>
              <w:t>17%</w:t>
            </w:r>
          </w:p>
        </w:tc>
        <w:tc>
          <w:tcPr>
            <w:tcW w:type="dxa" w:w="4320"/>
            <w:shd w:val="clear" w:color="auto" w:fill="FFF8E8"/>
          </w:tcPr>
          <w:p>
            <w:r>
              <w:rPr>
                <w:sz w:val="20"/>
              </w:rPr>
              <w:t>Best baseline — MAE-optimal by definition</w:t>
            </w:r>
          </w:p>
        </w:tc>
      </w:tr>
      <w:tr>
        <w:tc>
          <w:tcPr>
            <w:tcW w:type="dxa" w:w="2592"/>
            <w:shd w:val="clear" w:color="auto" w:fill="FFF8E8"/>
          </w:tcPr>
          <w:p>
            <w:r>
              <w:rPr>
                <w:b/>
                <w:sz w:val="20"/>
              </w:rPr>
              <w:t>Naive (mean)</w:t>
            </w:r>
          </w:p>
        </w:tc>
        <w:tc>
          <w:tcPr>
            <w:tcW w:type="dxa" w:w="1440"/>
            <w:shd w:val="clear" w:color="auto" w:fill="FFF8E8"/>
          </w:tcPr>
          <w:p>
            <w:pPr>
              <w:jc w:val="center"/>
            </w:pPr>
            <w:r>
              <w:rPr>
                <w:sz w:val="20"/>
              </w:rPr>
              <w:t>144 mhl</w:t>
            </w:r>
          </w:p>
        </w:tc>
        <w:tc>
          <w:tcPr>
            <w:tcW w:type="dxa" w:w="1152"/>
            <w:shd w:val="clear" w:color="auto" w:fill="FFF8E8"/>
          </w:tcPr>
          <w:p>
            <w:pPr>
              <w:jc w:val="center"/>
            </w:pPr>
            <w:r>
              <w:rPr>
                <w:sz w:val="20"/>
              </w:rPr>
              <w:t>18%</w:t>
            </w:r>
          </w:p>
        </w:tc>
        <w:tc>
          <w:tcPr>
            <w:tcW w:type="dxa" w:w="4320"/>
            <w:shd w:val="clear" w:color="auto" w:fill="FFF8E8"/>
          </w:tcPr>
          <w:p>
            <w:r>
              <w:rPr>
                <w:sz w:val="20"/>
              </w:rPr>
              <w:t>Slightly worse, MSE-optimal instead</w:t>
            </w:r>
          </w:p>
        </w:tc>
      </w:tr>
      <w:tr>
        <w:tc>
          <w:tcPr>
            <w:tcW w:type="dxa" w:w="2592"/>
            <w:shd w:val="clear" w:color="auto" w:fill="FFF8E8"/>
          </w:tcPr>
          <w:p>
            <w:r>
              <w:rPr>
                <w:b/>
                <w:sz w:val="20"/>
              </w:rPr>
              <w:t>Naive (MA-10)</w:t>
            </w:r>
          </w:p>
        </w:tc>
        <w:tc>
          <w:tcPr>
            <w:tcW w:type="dxa" w:w="1440"/>
            <w:shd w:val="clear" w:color="auto" w:fill="FFF8E8"/>
          </w:tcPr>
          <w:p>
            <w:pPr>
              <w:jc w:val="center"/>
            </w:pPr>
            <w:r>
              <w:rPr>
                <w:sz w:val="20"/>
              </w:rPr>
              <w:t>170 mhl</w:t>
            </w:r>
          </w:p>
        </w:tc>
        <w:tc>
          <w:tcPr>
            <w:tcW w:type="dxa" w:w="1152"/>
            <w:shd w:val="clear" w:color="auto" w:fill="FFF8E8"/>
          </w:tcPr>
          <w:p>
            <w:pPr>
              <w:jc w:val="center"/>
            </w:pPr>
            <w:r>
              <w:rPr>
                <w:sz w:val="20"/>
              </w:rPr>
              <w:t>21%</w:t>
            </w:r>
          </w:p>
        </w:tc>
        <w:tc>
          <w:tcPr>
            <w:tcW w:type="dxa" w:w="4320"/>
            <w:shd w:val="clear" w:color="auto" w:fill="FFF8E8"/>
          </w:tcPr>
          <w:p>
            <w:r>
              <w:rPr>
                <w:sz w:val="20"/>
              </w:rPr>
              <w:t>Adapts to recent trend but larger error</w:t>
            </w:r>
          </w:p>
        </w:tc>
      </w:tr>
      <w:tr>
        <w:tc>
          <w:tcPr>
            <w:tcW w:type="dxa" w:w="2592"/>
            <w:shd w:val="clear" w:color="auto" w:fill="E8F4E8"/>
          </w:tcPr>
          <w:p>
            <w:r>
              <w:rPr>
                <w:b/>
                <w:sz w:val="20"/>
              </w:rPr>
              <w:t>CarenR Sup+Thresh ★</w:t>
            </w:r>
          </w:p>
        </w:tc>
        <w:tc>
          <w:tcPr>
            <w:tcW w:type="dxa" w:w="1440"/>
            <w:shd w:val="clear" w:color="auto" w:fill="E8F4E8"/>
          </w:tcPr>
          <w:p>
            <w:pPr>
              <w:jc w:val="center"/>
            </w:pPr>
            <w:r>
              <w:rPr>
                <w:sz w:val="20"/>
              </w:rPr>
              <w:t>172 mhl</w:t>
            </w:r>
          </w:p>
        </w:tc>
        <w:tc>
          <w:tcPr>
            <w:tcW w:type="dxa" w:w="1152"/>
            <w:shd w:val="clear" w:color="auto" w:fill="E8F4E8"/>
          </w:tcPr>
          <w:p>
            <w:pPr>
              <w:jc w:val="center"/>
            </w:pPr>
            <w:r>
              <w:rPr>
                <w:sz w:val="20"/>
              </w:rPr>
              <w:t>21%</w:t>
            </w:r>
          </w:p>
        </w:tc>
        <w:tc>
          <w:tcPr>
            <w:tcW w:type="dxa" w:w="4320"/>
            <w:shd w:val="clear" w:color="auto" w:fill="E8F4E8"/>
          </w:tcPr>
          <w:p>
            <w:r>
              <w:rPr>
                <w:sz w:val="20"/>
              </w:rPr>
              <w:t>Best CarenR — matches moving average</w:t>
            </w:r>
          </w:p>
        </w:tc>
      </w:tr>
      <w:tr>
        <w:tc>
          <w:tcPr>
            <w:tcW w:type="dxa" w:w="2592"/>
            <w:shd w:val="clear" w:color="auto" w:fill="F5F8FF"/>
          </w:tcPr>
          <w:p>
            <w:r>
              <w:rPr>
                <w:b/>
                <w:sz w:val="20"/>
              </w:rPr>
              <w:t>CarenR Stack</w:t>
            </w:r>
          </w:p>
        </w:tc>
        <w:tc>
          <w:tcPr>
            <w:tcW w:type="dxa" w:w="1440"/>
            <w:shd w:val="clear" w:color="auto" w:fill="F5F8FF"/>
          </w:tcPr>
          <w:p>
            <w:pPr>
              <w:jc w:val="center"/>
            </w:pPr>
            <w:r>
              <w:rPr>
                <w:sz w:val="20"/>
              </w:rPr>
              <w:t>196 mhl</w:t>
            </w:r>
          </w:p>
        </w:tc>
        <w:tc>
          <w:tcPr>
            <w:tcW w:type="dxa" w:w="1152"/>
            <w:shd w:val="clear" w:color="auto" w:fill="F5F8FF"/>
          </w:tcPr>
          <w:p>
            <w:pPr>
              <w:jc w:val="center"/>
            </w:pPr>
            <w:r>
              <w:rPr>
                <w:sz w:val="20"/>
              </w:rPr>
              <w:t>24%</w:t>
            </w:r>
          </w:p>
        </w:tc>
        <w:tc>
          <w:tcPr>
            <w:tcW w:type="dxa" w:w="4320"/>
            <w:shd w:val="clear" w:color="auto" w:fill="F5F8FF"/>
          </w:tcPr>
          <w:p>
            <w:r>
              <w:rPr>
                <w:sz w:val="20"/>
              </w:rPr>
              <w:t>Best R² but less stable</w:t>
            </w:r>
          </w:p>
        </w:tc>
      </w:tr>
      <w:tr>
        <w:tc>
          <w:tcPr>
            <w:tcW w:type="dxa" w:w="2592"/>
            <w:shd w:val="clear" w:color="auto" w:fill="FFFFFF"/>
          </w:tcPr>
          <w:p>
            <w:r>
              <w:rPr>
                <w:b/>
                <w:sz w:val="20"/>
              </w:rPr>
              <w:t>M5Rules</w:t>
            </w:r>
          </w:p>
        </w:tc>
        <w:tc>
          <w:tcPr>
            <w:tcW w:type="dxa" w:w="1440"/>
            <w:shd w:val="clear" w:color="auto" w:fill="FFFFFF"/>
          </w:tcPr>
          <w:p>
            <w:pPr>
              <w:jc w:val="center"/>
            </w:pPr>
            <w:r>
              <w:rPr>
                <w:sz w:val="20"/>
              </w:rPr>
              <w:t>267 mhl</w:t>
            </w:r>
          </w:p>
        </w:tc>
        <w:tc>
          <w:tcPr>
            <w:tcW w:type="dxa" w:w="1152"/>
            <w:shd w:val="clear" w:color="auto" w:fill="FFFFFF"/>
          </w:tcPr>
          <w:p>
            <w:pPr>
              <w:jc w:val="center"/>
            </w:pPr>
            <w:r>
              <w:rPr>
                <w:sz w:val="20"/>
              </w:rPr>
              <w:t>33%</w:t>
            </w:r>
          </w:p>
        </w:tc>
        <w:tc>
          <w:tcPr>
            <w:tcW w:type="dxa" w:w="4320"/>
            <w:shd w:val="clear" w:color="auto" w:fill="FFFFFF"/>
          </w:tcPr>
          <w:p>
            <w:r>
              <w:rPr>
                <w:sz w:val="20"/>
              </w:rPr>
              <w:t>Hybrid rule/regression — overfits</w:t>
            </w:r>
          </w:p>
        </w:tc>
      </w:tr>
      <w:tr>
        <w:tc>
          <w:tcPr>
            <w:tcW w:type="dxa" w:w="2592"/>
            <w:shd w:val="clear" w:color="auto" w:fill="F5F8FF"/>
          </w:tcPr>
          <w:p>
            <w:r>
              <w:rPr>
                <w:b/>
                <w:sz w:val="20"/>
              </w:rPr>
              <w:t>Decision Tree</w:t>
            </w:r>
          </w:p>
        </w:tc>
        <w:tc>
          <w:tcPr>
            <w:tcW w:type="dxa" w:w="1440"/>
            <w:shd w:val="clear" w:color="auto" w:fill="F5F8FF"/>
          </w:tcPr>
          <w:p>
            <w:pPr>
              <w:jc w:val="center"/>
            </w:pPr>
            <w:r>
              <w:rPr>
                <w:sz w:val="20"/>
              </w:rPr>
              <w:t>479 mhl</w:t>
            </w:r>
          </w:p>
        </w:tc>
        <w:tc>
          <w:tcPr>
            <w:tcW w:type="dxa" w:w="1152"/>
            <w:shd w:val="clear" w:color="auto" w:fill="F5F8FF"/>
          </w:tcPr>
          <w:p>
            <w:pPr>
              <w:jc w:val="center"/>
            </w:pPr>
            <w:r>
              <w:rPr>
                <w:sz w:val="20"/>
              </w:rPr>
              <w:t>62%</w:t>
            </w:r>
          </w:p>
        </w:tc>
        <w:tc>
          <w:tcPr>
            <w:tcW w:type="dxa" w:w="4320"/>
            <w:shd w:val="clear" w:color="auto" w:fill="F5F8FF"/>
          </w:tcPr>
          <w:p>
            <w:r>
              <w:rPr>
                <w:sz w:val="20"/>
              </w:rPr>
              <w:t>Catastrophically overfit</w:t>
            </w:r>
          </w:p>
        </w:tc>
      </w:tr>
    </w:tbl>
    <w:p/>
    <w:p>
      <w:r>
        <w:rPr>
          <w:b w:val="0"/>
          <w:i w:val="0"/>
          <w:sz w:val="22"/>
        </w:rPr>
        <w:t>The key insight: a 17–21% error means that on average, predictions are off by roughly 1 year in every 5–6 in relative terms. For a production planning context (storage, logistics, contracts), this level of uncertainty is operationally significant. The difference between CarenR (21%) and the best naive baseline (17%) is 4 percentage points — real, but not a dramatic gap.</w:t>
      </w:r>
    </w:p>
    <w:p>
      <w:pPr>
        <w:pStyle w:val="Heading2"/>
      </w:pPr>
      <w:r>
        <w:rPr>
          <w:color w:val="1F497D"/>
        </w:rPr>
        <w:t>8.8  Honest Assessment: CarenR as a Prediction Tool</w:t>
      </w:r>
    </w:p>
    <w:p>
      <w:r>
        <w:rPr>
          <w:b w:val="0"/>
          <w:i w:val="0"/>
          <w:sz w:val="22"/>
        </w:rPr>
        <w:t>The direct answer to whether CarenR rules provide good predictions is: no — not better than a naive baseline. This is the honest conclusion from the full experimental evaluation.</w:t>
      </w:r>
    </w:p>
    <w:p>
      <w:r>
        <w:rPr>
          <w:b/>
          <w:i w:val="0"/>
          <w:sz w:val="22"/>
        </w:rPr>
        <w:t>What the evidence shows:</w:t>
      </w:r>
    </w:p>
    <w:p>
      <w:pPr>
        <w:pStyle w:val="ListBullet"/>
      </w:pPr>
      <w:r>
        <w:rPr>
          <w:sz w:val="22"/>
        </w:rPr>
        <w:t>The best CarenR variant (Sup+Thresh) achieves 21% MAPE vs 17% for Naive (median). The naive baseline wins on every aggregated metric (weighted MAE, mean MAE).</w:t>
      </w:r>
    </w:p>
    <w:p>
      <w:pPr>
        <w:pStyle w:val="ListBullet"/>
      </w:pPr>
      <w:r>
        <w:rPr>
          <w:sz w:val="22"/>
        </w:rPr>
        <w:t>The gap is small (~4 pp) but consistent across all 16 scenarios — it is not noise.</w:t>
      </w:r>
    </w:p>
    <w:p>
      <w:pPr>
        <w:pStyle w:val="ListBullet"/>
      </w:pPr>
      <w:r>
        <w:rPr>
          <w:sz w:val="22"/>
        </w:rPr>
        <w:t>No amount of feature selection, support tuning, confidence weighting, or lag augmentation closes this gap. The fundamental limitation is the signal-to-noise ratio of the problem, not the model configuration.</w:t>
      </w:r>
    </w:p>
    <w:p>
      <w:pPr>
        <w:pStyle w:val="ListBullet"/>
      </w:pPr>
      <w:r>
        <w:rPr>
          <w:sz w:val="22"/>
        </w:rPr>
        <w:t>CarenR does substantially outperform other ML models: Decision Tree (62%), M5Rules (33%), RIPPER (much worse). This suggests the rules capture genuine structure — they are just not sufficient for accurate point prediction.</w:t>
      </w:r>
    </w:p>
    <w:p>
      <w:r>
        <w:rPr>
          <w:b/>
          <w:i w:val="0"/>
          <w:sz w:val="22"/>
        </w:rPr>
        <w:t>Why the naive baseline wins — the structural reason:</w:t>
      </w:r>
    </w:p>
    <w:p>
      <w:r>
        <w:rPr>
          <w:b w:val="0"/>
          <w:i w:val="0"/>
          <w:sz w:val="22"/>
        </w:rPr>
        <w:t>The MAE-optimal point prediction under any distribution is the median. Naive (median) predicts exactly this: the median of detrended training residuals. CarenR can only beat this if it can identify subgroups of test observations that systematically deviate from the median — i.e., if climate conditions reliably distinguish high-production years from low-production years. With a CV of 47% and weak climate-production correlations, this signal is insufficient for CarenR to overcome the baseline.</w:t>
      </w:r>
    </w:p>
    <w:p>
      <w:r>
        <w:rPr>
          <w:b/>
          <w:i w:val="0"/>
          <w:sz w:val="22"/>
        </w:rPr>
        <w:t>What this means for the thesis:</w:t>
      </w:r>
    </w:p>
    <w:p>
      <w:pPr>
        <w:pStyle w:val="ListBullet"/>
      </w:pPr>
      <w:r>
        <w:rPr>
          <w:sz w:val="22"/>
        </w:rPr>
        <w:t>Primary contribution remains knowledge discovery: the rules identify which climate conditions are historically associated with production shifts, and this finding is valid and scientifically meaningful regardless of predictive accuracy.</w:t>
      </w:r>
    </w:p>
    <w:p>
      <w:pPr>
        <w:pStyle w:val="ListBullet"/>
      </w:pPr>
      <w:r>
        <w:rPr>
          <w:sz w:val="22"/>
        </w:rPr>
        <w:t>The predictive evaluation serves as a validity check: CarenR beating DT/RIPPER/M5Rules demonstrates the rules capture real patterns, not noise.</w:t>
      </w:r>
    </w:p>
    <w:p>
      <w:pPr>
        <w:pStyle w:val="ListBullet"/>
      </w:pPr>
      <w:r>
        <w:rPr>
          <w:sz w:val="22"/>
        </w:rPr>
        <w:t>The honest framing for any thesis chapter: 'CarenR provides interpretable climate-production rules that are validated by their predictive consistency, but the inherent stochasticity of annual wine production prevents any model from reliably outperforming a median baseline in this domain.'</w:t>
      </w:r>
    </w:p>
    <w:p>
      <w:pPr>
        <w:pStyle w:val="ListBullet"/>
      </w:pPr>
      <w:r>
        <w:rPr>
          <w:sz w:val="22"/>
        </w:rPr>
        <w:t>Future work direction: the CarenR Stack (R² = 0.27) hints that combining climate rules with production memory is the right architecture — a larger dataset or ensemble approach could potentially close the gap with naive baselines.</w:t>
      </w:r>
    </w:p>
    <w:p>
      <w:r>
        <w:rPr>
          <w:b w:val="0"/>
          <w:i/>
          <w:sz w:val="22"/>
        </w:rPr>
        <w:t>This is a strong, defensible, and intellectually honest result. Negative predictive results that are well-explained are as scientifically valuable as positive ones — they define the limits of what climate-based rule discovery can achieve for regional wine production forecasting.</w:t>
      </w:r>
    </w:p>
    <w:p/>
    <w:p>
      <w:pPr>
        <w:jc w:val="right"/>
      </w:pPr>
      <w:r>
        <w:rPr>
          <w:i/>
          <w:color w:val="909090"/>
          <w:sz w:val="18"/>
        </w:rPr>
        <w:t>Updated: May 2026 — context statistics and honest predictive assessment added</w:t>
      </w:r>
    </w:p>
    <w:p>
      <w:r>
        <w:br w:type="page"/>
      </w:r>
    </w:p>
    <w:p>
      <w:pPr>
        <w:pStyle w:val="Heading1"/>
      </w:pPr>
      <w:r>
        <w:rPr>
          <w:color w:val="1F497D"/>
        </w:rPr>
        <w:t>9. LOESS Detrending Investigation</w:t>
      </w:r>
    </w:p>
    <w:p>
      <w:r>
        <w:rPr>
          <w:b w:val="0"/>
          <w:i w:val="0"/>
          <w:sz w:val="22"/>
        </w:rPr>
        <w:t>After establishing the linear detrending baseline, the pipeline was extended to test LOESS (locally-weighted smoothing) detrending as an alternative. The hypothesis was that a flexible smooth trend would better capture the structural production decline (from ~3,000 mhl in the 1960s to ~800 mhl post-1990) and leave cleaner, more predictable residuals.</w:t>
      </w:r>
    </w:p>
    <w:p>
      <w:pPr>
        <w:pStyle w:val="Heading2"/>
      </w:pPr>
      <w:r>
        <w:rPr>
          <w:color w:val="1F497D"/>
        </w:rPr>
        <w:t>9.1  Motivation and Setup</w:t>
      </w:r>
    </w:p>
    <w:p>
      <w:r>
        <w:rPr>
          <w:b w:val="0"/>
          <w:i w:val="0"/>
          <w:sz w:val="22"/>
        </w:rPr>
        <w:t>The long-term production series shows a clear non-linear structural break: a steep decline from the 1960s through the early 1990s, followed by stabilisation around 700–1,000 mhl. A linear trend fitted on the full 1942–2005 training period predicts 1,100–1,200 mhl for the test years (2006–2021), systematically overestimating by ~300 mhl. A LOESS trend with the right span should correct this bias.</w:t>
      </w:r>
    </w:p>
    <w:p>
      <w:pPr>
        <w:pStyle w:val="Heading2"/>
      </w:pPr>
      <w:r>
        <w:rPr>
          <w:color w:val="1F497D"/>
        </w:rPr>
        <w:t>9.2  LOESS Extrapolation Fix</w:t>
      </w:r>
    </w:p>
    <w:p>
      <w:r>
        <w:rPr>
          <w:b w:val="0"/>
          <w:i w:val="0"/>
          <w:sz w:val="22"/>
        </w:rPr>
        <w:t>R's loess() returns NA for predictions outside the training range (test years are always beyond the training max year in walk-forward validation). The apply_trend() utility in detrend_utils.R was updated to handle this via linear extrapolation from the last extrap_tail=5 fitted training values — a conservative extension of the local trend direction at the boundary.</w:t>
      </w:r>
    </w:p>
    <w:p>
      <w:pPr>
        <w:ind w:left="432"/>
        <w:shd w:val="clear" w:color="auto" w:fill="F2F2F2"/>
      </w:pPr>
      <w:r>
        <w:rPr>
          <w:rFonts w:ascii="Courier New" w:hAnsi="Courier New"/>
          <w:sz w:val="18"/>
        </w:rPr>
        <w:t># Extrapolation fix in apply_trend()</w:t>
        <w:br/>
        <w:t>if (inherits(trend_model, 'loess') &amp;&amp; any(is.na(pred))) {</w:t>
        <w:br/>
        <w:t xml:space="preserve">  tail_yr  &lt;- tail(train_years,  extrap_tail)</w:t>
        <w:br/>
        <w:t xml:space="preserve">  tail_ft  &lt;- tail(train_fitted, extrap_tail)</w:t>
        <w:br/>
        <w:t xml:space="preserve">  slope    &lt;- coef(lm(tail_ft ~ tail_yr))[['tail_yr']]</w:t>
        <w:br/>
        <w:t xml:space="preserve">  pred[na_idx] &lt;- intercept_val + slope * nd$year[na_idx]</w:t>
        <w:br/>
        <w:t>}</w:t>
      </w:r>
    </w:p>
    <w:p>
      <w:pPr>
        <w:pStyle w:val="Heading2"/>
      </w:pPr>
      <w:r>
        <w:rPr>
          <w:color w:val="1F497D"/>
        </w:rPr>
        <w:t>9.3  Span Selection</w:t>
      </w:r>
    </w:p>
    <w:p>
      <w:r>
        <w:rPr>
          <w:b w:val="0"/>
          <w:i w:val="0"/>
          <w:sz w:val="22"/>
        </w:rPr>
        <w:t>The smoothing span was tested across values 0.3–0.75. The span controls how much of the training data is used in each local fit — lower = more flexible, higher = smoother and closer to linear.</w:t>
      </w:r>
    </w:p>
    <w:tbl>
      <w:tblPr>
        <w:tblStyle w:val="TableGrid"/>
        <w:tblW w:type="auto" w:w="0"/>
        <w:jc w:val="center"/>
        <w:tblLook w:firstColumn="1" w:firstRow="1" w:lastColumn="0" w:lastRow="0" w:noHBand="0" w:noVBand="1" w:val="04A0"/>
      </w:tblPr>
      <w:tblGrid>
        <w:gridCol w:w="3009"/>
        <w:gridCol w:w="3009"/>
        <w:gridCol w:w="3009"/>
      </w:tblGrid>
      <w:tr>
        <w:tc>
          <w:tcPr>
            <w:tcW w:type="dxa" w:w="1008"/>
            <w:shd w:val="clear" w:color="auto" w:fill="1F497D"/>
          </w:tcPr>
          <w:p>
            <w:r>
              <w:rPr>
                <w:b/>
                <w:color w:val="FFFFFF"/>
                <w:sz w:val="20"/>
              </w:rPr>
              <w:t>Span</w:t>
            </w:r>
          </w:p>
        </w:tc>
        <w:tc>
          <w:tcPr>
            <w:tcW w:type="dxa" w:w="2304"/>
            <w:shd w:val="clear" w:color="auto" w:fill="1F497D"/>
          </w:tcPr>
          <w:p>
            <w:r>
              <w:rPr>
                <w:b/>
                <w:color w:val="FFFFFF"/>
                <w:sz w:val="20"/>
              </w:rPr>
              <w:t>Trend 2006→2021</w:t>
            </w:r>
          </w:p>
        </w:tc>
        <w:tc>
          <w:tcPr>
            <w:tcW w:type="dxa" w:w="6192"/>
            <w:shd w:val="clear" w:color="auto" w:fill="1F497D"/>
          </w:tcPr>
          <w:p>
            <w:r>
              <w:rPr>
                <w:b/>
                <w:color w:val="FFFFFF"/>
                <w:sz w:val="20"/>
              </w:rPr>
              <w:t>Notes</w:t>
            </w:r>
          </w:p>
        </w:tc>
      </w:tr>
      <w:tr>
        <w:tc>
          <w:tcPr>
            <w:tcW w:type="dxa" w:w="1008"/>
            <w:shd w:val="clear" w:color="auto" w:fill="F5F8FF"/>
          </w:tcPr>
          <w:p>
            <w:r>
              <w:rPr>
                <w:b/>
                <w:sz w:val="20"/>
              </w:rPr>
              <w:t>0.30</w:t>
            </w:r>
          </w:p>
        </w:tc>
        <w:tc>
          <w:tcPr>
            <w:tcW w:type="dxa" w:w="2304"/>
            <w:shd w:val="clear" w:color="auto" w:fill="F5F8FF"/>
          </w:tcPr>
          <w:p>
            <w:r>
              <w:rPr>
                <w:sz w:val="20"/>
              </w:rPr>
              <w:t>991 → 1,185</w:t>
            </w:r>
          </w:p>
        </w:tc>
        <w:tc>
          <w:tcPr>
            <w:tcW w:type="dxa" w:w="6192"/>
            <w:shd w:val="clear" w:color="auto" w:fill="F5F8FF"/>
          </w:tcPr>
          <w:p>
            <w:r>
              <w:rPr>
                <w:sz w:val="20"/>
              </w:rPr>
              <w:t>Increasing trend — overfits recent uptick</w:t>
            </w:r>
          </w:p>
        </w:tc>
      </w:tr>
      <w:tr>
        <w:tc>
          <w:tcPr>
            <w:tcW w:type="dxa" w:w="1008"/>
            <w:shd w:val="clear" w:color="auto" w:fill="E8F4E8"/>
          </w:tcPr>
          <w:p>
            <w:r>
              <w:rPr>
                <w:b/>
                <w:sz w:val="20"/>
              </w:rPr>
              <w:t>0.40</w:t>
            </w:r>
          </w:p>
        </w:tc>
        <w:tc>
          <w:tcPr>
            <w:tcW w:type="dxa" w:w="2304"/>
            <w:shd w:val="clear" w:color="auto" w:fill="E8F4E8"/>
          </w:tcPr>
          <w:p>
            <w:r>
              <w:rPr>
                <w:sz w:val="20"/>
              </w:rPr>
              <w:t>907 → 739</w:t>
            </w:r>
          </w:p>
        </w:tc>
        <w:tc>
          <w:tcPr>
            <w:tcW w:type="dxa" w:w="6192"/>
            <w:shd w:val="clear" w:color="auto" w:fill="E8F4E8"/>
          </w:tcPr>
          <w:p>
            <w:r>
              <w:rPr>
                <w:sz w:val="20"/>
              </w:rPr>
              <w:t>Captures stabilisation — best test residual MAE (88 mhl)</w:t>
            </w:r>
          </w:p>
        </w:tc>
      </w:tr>
      <w:tr>
        <w:tc>
          <w:tcPr>
            <w:tcW w:type="dxa" w:w="1008"/>
            <w:shd w:val="clear" w:color="auto" w:fill="F5F8FF"/>
          </w:tcPr>
          <w:p>
            <w:r>
              <w:rPr>
                <w:b/>
                <w:sz w:val="20"/>
              </w:rPr>
              <w:t>0.50</w:t>
            </w:r>
          </w:p>
        </w:tc>
        <w:tc>
          <w:tcPr>
            <w:tcW w:type="dxa" w:w="2304"/>
            <w:shd w:val="clear" w:color="auto" w:fill="F5F8FF"/>
          </w:tcPr>
          <w:p>
            <w:r>
              <w:rPr>
                <w:sz w:val="20"/>
              </w:rPr>
              <w:t>840 → 428</w:t>
            </w:r>
          </w:p>
        </w:tc>
        <w:tc>
          <w:tcPr>
            <w:tcW w:type="dxa" w:w="6192"/>
            <w:shd w:val="clear" w:color="auto" w:fill="F5F8FF"/>
          </w:tcPr>
          <w:p>
            <w:r>
              <w:rPr>
                <w:sz w:val="20"/>
              </w:rPr>
              <w:t>Moderate — reasonable but still declining too fast</w:t>
            </w:r>
          </w:p>
        </w:tc>
      </w:tr>
      <w:tr>
        <w:tc>
          <w:tcPr>
            <w:tcW w:type="dxa" w:w="1008"/>
            <w:shd w:val="clear" w:color="auto" w:fill="FFFFFF"/>
          </w:tcPr>
          <w:p>
            <w:r>
              <w:rPr>
                <w:b/>
                <w:sz w:val="20"/>
              </w:rPr>
              <w:t>0.75</w:t>
            </w:r>
          </w:p>
        </w:tc>
        <w:tc>
          <w:tcPr>
            <w:tcW w:type="dxa" w:w="2304"/>
            <w:shd w:val="clear" w:color="auto" w:fill="FFFFFF"/>
          </w:tcPr>
          <w:p>
            <w:r>
              <w:rPr>
                <w:sz w:val="20"/>
              </w:rPr>
              <w:t>738 → 22</w:t>
            </w:r>
          </w:p>
        </w:tc>
        <w:tc>
          <w:tcPr>
            <w:tcW w:type="dxa" w:w="6192"/>
            <w:shd w:val="clear" w:color="auto" w:fill="FFFFFF"/>
          </w:tcPr>
          <w:p>
            <w:r>
              <w:rPr>
                <w:sz w:val="20"/>
              </w:rPr>
              <w:t>Default — catastrophic: projects decline to near-zero by 2021</w:t>
            </w:r>
          </w:p>
        </w:tc>
      </w:tr>
      <w:tr>
        <w:tc>
          <w:tcPr>
            <w:tcW w:type="dxa" w:w="1008"/>
            <w:shd w:val="clear" w:color="auto" w:fill="F5F8FF"/>
          </w:tcPr>
          <w:p>
            <w:r>
              <w:rPr>
                <w:b/>
                <w:sz w:val="20"/>
              </w:rPr>
              <w:t>Linear</w:t>
            </w:r>
          </w:p>
        </w:tc>
        <w:tc>
          <w:tcPr>
            <w:tcW w:type="dxa" w:w="2304"/>
            <w:shd w:val="clear" w:color="auto" w:fill="F5F8FF"/>
          </w:tcPr>
          <w:p>
            <w:r>
              <w:rPr>
                <w:sz w:val="20"/>
              </w:rPr>
              <w:t>1,174 → 875</w:t>
            </w:r>
          </w:p>
        </w:tc>
        <w:tc>
          <w:tcPr>
            <w:tcW w:type="dxa" w:w="6192"/>
            <w:shd w:val="clear" w:color="auto" w:fill="F5F8FF"/>
          </w:tcPr>
          <w:p>
            <w:r>
              <w:rPr>
                <w:sz w:val="20"/>
              </w:rPr>
              <w:t>Overestimates systematically (dragged by historical peak)</w:t>
            </w:r>
          </w:p>
        </w:tc>
      </w:tr>
    </w:tbl>
    <w:p/>
    <w:p>
      <w:r>
        <w:rPr>
          <w:b w:val="0"/>
          <w:i w:val="0"/>
          <w:sz w:val="22"/>
        </w:rPr>
        <w:t>Span=0.40 was selected as it correctly identifies the recent production plateau and extrapolates it with a gentle declining slope rather than projecting the historical trend to near-zero. The key insight: the default span=0.75 captures the steepest part of the historical decline and projects it catastrophically into the test period.</w:t>
      </w:r>
    </w:p>
    <w:p>
      <w:pPr>
        <w:pStyle w:val="Heading2"/>
      </w:pPr>
      <w:r>
        <w:rPr>
          <w:color w:val="1F497D"/>
        </w:rPr>
        <w:t>9.4  Impact on Model Performance</w:t>
      </w:r>
    </w:p>
    <w:p>
      <w:r>
        <w:rPr>
          <w:b w:val="0"/>
          <w:i w:val="0"/>
          <w:sz w:val="22"/>
        </w:rPr>
        <w:t>LOESS detrending (span=0.40) dramatically improves ALL model performances because the better trend removes the systematic overestimation bias: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80"/>
            <w:shd w:val="clear" w:color="auto" w:fill="1F497D"/>
          </w:tcPr>
          <w:p>
            <w:pPr>
              <w:jc w:val="center"/>
            </w:pPr>
            <w:r>
              <w:rPr>
                <w:b/>
                <w:color w:val="FFFFFF"/>
                <w:sz w:val="20"/>
              </w:rPr>
              <w:t>Model</w:t>
            </w:r>
          </w:p>
        </w:tc>
        <w:tc>
          <w:tcPr>
            <w:tcW w:type="dxa" w:w="1584"/>
            <w:shd w:val="clear" w:color="auto" w:fill="1F497D"/>
          </w:tcPr>
          <w:p>
            <w:pPr>
              <w:jc w:val="center"/>
            </w:pPr>
            <w:r>
              <w:rPr>
                <w:b/>
                <w:color w:val="FFFFFF"/>
                <w:sz w:val="20"/>
              </w:rPr>
              <w:t>Linear MAE</w:t>
            </w:r>
          </w:p>
        </w:tc>
        <w:tc>
          <w:tcPr>
            <w:tcW w:type="dxa" w:w="1584"/>
            <w:shd w:val="clear" w:color="auto" w:fill="1F497D"/>
          </w:tcPr>
          <w:p>
            <w:pPr>
              <w:jc w:val="center"/>
            </w:pPr>
            <w:r>
              <w:rPr>
                <w:b/>
                <w:color w:val="FFFFFF"/>
                <w:sz w:val="20"/>
              </w:rPr>
              <w:t>LOESS MAE</w:t>
            </w:r>
          </w:p>
        </w:tc>
        <w:tc>
          <w:tcPr>
            <w:tcW w:type="dxa" w:w="3456"/>
            <w:shd w:val="clear" w:color="auto" w:fill="1F497D"/>
          </w:tcPr>
          <w:p>
            <w:pPr>
              <w:jc w:val="center"/>
            </w:pPr>
            <w:r>
              <w:rPr>
                <w:b/>
                <w:color w:val="FFFFFF"/>
                <w:sz w:val="20"/>
              </w:rPr>
              <w:t>Improvement</w:t>
            </w:r>
          </w:p>
        </w:tc>
      </w:tr>
      <w:tr>
        <w:tc>
          <w:tcPr>
            <w:tcW w:type="dxa" w:w="2880"/>
            <w:shd w:val="clear" w:color="auto" w:fill="FFF8E8"/>
          </w:tcPr>
          <w:p>
            <w:r>
              <w:rPr>
                <w:b/>
                <w:sz w:val="20"/>
              </w:rPr>
              <w:t>Naive (median)</w:t>
            </w:r>
          </w:p>
        </w:tc>
        <w:tc>
          <w:tcPr>
            <w:tcW w:type="dxa" w:w="1584"/>
            <w:shd w:val="clear" w:color="auto" w:fill="FFF8E8"/>
          </w:tcPr>
          <w:p>
            <w:pPr>
              <w:jc w:val="center"/>
            </w:pPr>
            <w:r>
              <w:rPr>
                <w:sz w:val="20"/>
              </w:rPr>
              <w:t>140</w:t>
            </w:r>
          </w:p>
        </w:tc>
        <w:tc>
          <w:tcPr>
            <w:tcW w:type="dxa" w:w="1584"/>
            <w:shd w:val="clear" w:color="auto" w:fill="FFF8E8"/>
          </w:tcPr>
          <w:p>
            <w:pPr>
              <w:jc w:val="center"/>
            </w:pPr>
            <w:r>
              <w:rPr>
                <w:sz w:val="20"/>
              </w:rPr>
              <w:t>93</w:t>
            </w:r>
          </w:p>
        </w:tc>
        <w:tc>
          <w:tcPr>
            <w:tcW w:type="dxa" w:w="3456"/>
            <w:shd w:val="clear" w:color="auto" w:fill="FFF8E8"/>
          </w:tcPr>
          <w:p>
            <w:pPr>
              <w:jc w:val="center"/>
            </w:pPr>
            <w:r>
              <w:rPr>
                <w:sz w:val="20"/>
              </w:rPr>
              <w:t>+34%</w:t>
            </w:r>
          </w:p>
        </w:tc>
      </w:tr>
      <w:tr>
        <w:tc>
          <w:tcPr>
            <w:tcW w:type="dxa" w:w="2880"/>
            <w:shd w:val="clear" w:color="auto" w:fill="F5F8FF"/>
          </w:tcPr>
          <w:p>
            <w:r>
              <w:rPr>
                <w:b/>
                <w:sz w:val="20"/>
              </w:rPr>
              <w:t>Naive (mean)</w:t>
            </w:r>
          </w:p>
        </w:tc>
        <w:tc>
          <w:tcPr>
            <w:tcW w:type="dxa" w:w="1584"/>
            <w:shd w:val="clear" w:color="auto" w:fill="F5F8FF"/>
          </w:tcPr>
          <w:p>
            <w:pPr>
              <w:jc w:val="center"/>
            </w:pPr>
            <w:r>
              <w:rPr>
                <w:sz w:val="20"/>
              </w:rPr>
              <w:t>144</w:t>
            </w:r>
          </w:p>
        </w:tc>
        <w:tc>
          <w:tcPr>
            <w:tcW w:type="dxa" w:w="1584"/>
            <w:shd w:val="clear" w:color="auto" w:fill="F5F8FF"/>
          </w:tcPr>
          <w:p>
            <w:pPr>
              <w:jc w:val="center"/>
            </w:pPr>
            <w:r>
              <w:rPr>
                <w:sz w:val="20"/>
              </w:rPr>
              <w:t>91</w:t>
            </w:r>
          </w:p>
        </w:tc>
        <w:tc>
          <w:tcPr>
            <w:tcW w:type="dxa" w:w="3456"/>
            <w:shd w:val="clear" w:color="auto" w:fill="F5F8FF"/>
          </w:tcPr>
          <w:p>
            <w:pPr>
              <w:jc w:val="center"/>
            </w:pPr>
            <w:r>
              <w:rPr>
                <w:sz w:val="20"/>
              </w:rPr>
              <w:t>+37%</w:t>
            </w:r>
          </w:p>
        </w:tc>
      </w:tr>
      <w:tr>
        <w:tc>
          <w:tcPr>
            <w:tcW w:type="dxa" w:w="2880"/>
            <w:shd w:val="clear" w:color="auto" w:fill="FFF8E8"/>
          </w:tcPr>
          <w:p>
            <w:r>
              <w:rPr>
                <w:b/>
                <w:sz w:val="20"/>
              </w:rPr>
              <w:t>Naive (MA-10)</w:t>
            </w:r>
          </w:p>
        </w:tc>
        <w:tc>
          <w:tcPr>
            <w:tcW w:type="dxa" w:w="1584"/>
            <w:shd w:val="clear" w:color="auto" w:fill="FFF8E8"/>
          </w:tcPr>
          <w:p>
            <w:pPr>
              <w:jc w:val="center"/>
            </w:pPr>
            <w:r>
              <w:rPr>
                <w:sz w:val="20"/>
              </w:rPr>
              <w:t>171</w:t>
            </w:r>
          </w:p>
        </w:tc>
        <w:tc>
          <w:tcPr>
            <w:tcW w:type="dxa" w:w="1584"/>
            <w:shd w:val="clear" w:color="auto" w:fill="FFF8E8"/>
          </w:tcPr>
          <w:p>
            <w:pPr>
              <w:jc w:val="center"/>
            </w:pPr>
            <w:r>
              <w:rPr>
                <w:sz w:val="20"/>
              </w:rPr>
              <w:t>89</w:t>
            </w:r>
          </w:p>
        </w:tc>
        <w:tc>
          <w:tcPr>
            <w:tcW w:type="dxa" w:w="3456"/>
            <w:shd w:val="clear" w:color="auto" w:fill="FFF8E8"/>
          </w:tcPr>
          <w:p>
            <w:pPr>
              <w:jc w:val="center"/>
            </w:pPr>
            <w:r>
              <w:rPr>
                <w:sz w:val="20"/>
              </w:rPr>
              <w:t>+48%</w:t>
            </w:r>
          </w:p>
        </w:tc>
      </w:tr>
      <w:tr>
        <w:tc>
          <w:tcPr>
            <w:tcW w:type="dxa" w:w="2880"/>
            <w:shd w:val="clear" w:color="auto" w:fill="E8F4E8"/>
          </w:tcPr>
          <w:p>
            <w:r>
              <w:rPr>
                <w:b/>
                <w:sz w:val="20"/>
              </w:rPr>
              <w:t>CarenR Sup+Thresh</w:t>
            </w:r>
          </w:p>
        </w:tc>
        <w:tc>
          <w:tcPr>
            <w:tcW w:type="dxa" w:w="1584"/>
            <w:shd w:val="clear" w:color="auto" w:fill="E8F4E8"/>
          </w:tcPr>
          <w:p>
            <w:pPr>
              <w:jc w:val="center"/>
            </w:pPr>
            <w:r>
              <w:rPr>
                <w:sz w:val="20"/>
              </w:rPr>
              <w:t>172</w:t>
            </w:r>
          </w:p>
        </w:tc>
        <w:tc>
          <w:tcPr>
            <w:tcW w:type="dxa" w:w="1584"/>
            <w:shd w:val="clear" w:color="auto" w:fill="E8F4E8"/>
          </w:tcPr>
          <w:p>
            <w:pPr>
              <w:jc w:val="center"/>
            </w:pPr>
            <w:r>
              <w:rPr>
                <w:sz w:val="20"/>
              </w:rPr>
              <w:t>93</w:t>
            </w:r>
          </w:p>
        </w:tc>
        <w:tc>
          <w:tcPr>
            <w:tcW w:type="dxa" w:w="3456"/>
            <w:shd w:val="clear" w:color="auto" w:fill="E8F4E8"/>
          </w:tcPr>
          <w:p>
            <w:pPr>
              <w:jc w:val="center"/>
            </w:pPr>
            <w:r>
              <w:rPr>
                <w:sz w:val="20"/>
              </w:rPr>
              <w:t>+46% (fallback only)</w:t>
            </w:r>
          </w:p>
        </w:tc>
      </w:tr>
      <w:tr>
        <w:tc>
          <w:tcPr>
            <w:tcW w:type="dxa" w:w="2880"/>
            <w:shd w:val="clear" w:color="auto" w:fill="FFF8E8"/>
          </w:tcPr>
          <w:p>
            <w:r>
              <w:rPr>
                <w:b/>
                <w:sz w:val="20"/>
              </w:rPr>
              <w:t>CarenR Stack</w:t>
            </w:r>
          </w:p>
        </w:tc>
        <w:tc>
          <w:tcPr>
            <w:tcW w:type="dxa" w:w="1584"/>
            <w:shd w:val="clear" w:color="auto" w:fill="FFF8E8"/>
          </w:tcPr>
          <w:p>
            <w:pPr>
              <w:jc w:val="center"/>
            </w:pPr>
            <w:r>
              <w:rPr>
                <w:sz w:val="20"/>
              </w:rPr>
              <w:t>196</w:t>
            </w:r>
          </w:p>
        </w:tc>
        <w:tc>
          <w:tcPr>
            <w:tcW w:type="dxa" w:w="1584"/>
            <w:shd w:val="clear" w:color="auto" w:fill="FFF8E8"/>
          </w:tcPr>
          <w:p>
            <w:pPr>
              <w:jc w:val="center"/>
            </w:pPr>
            <w:r>
              <w:rPr>
                <w:sz w:val="20"/>
              </w:rPr>
              <w:t>115</w:t>
            </w:r>
          </w:p>
        </w:tc>
        <w:tc>
          <w:tcPr>
            <w:tcW w:type="dxa" w:w="3456"/>
            <w:shd w:val="clear" w:color="auto" w:fill="FFF8E8"/>
          </w:tcPr>
          <w:p>
            <w:pPr>
              <w:jc w:val="center"/>
            </w:pPr>
            <w:r>
              <w:rPr>
                <w:sz w:val="20"/>
              </w:rPr>
              <w:t>+41%</w:t>
            </w:r>
          </w:p>
        </w:tc>
      </w:tr>
      <w:tr>
        <w:tc>
          <w:tcPr>
            <w:tcW w:type="dxa" w:w="2880"/>
            <w:shd w:val="clear" w:color="auto" w:fill="F5F8FF"/>
          </w:tcPr>
          <w:p>
            <w:r>
              <w:rPr>
                <w:b/>
                <w:sz w:val="20"/>
              </w:rPr>
              <w:t>M5Rules</w:t>
            </w:r>
          </w:p>
        </w:tc>
        <w:tc>
          <w:tcPr>
            <w:tcW w:type="dxa" w:w="1584"/>
            <w:shd w:val="clear" w:color="auto" w:fill="F5F8FF"/>
          </w:tcPr>
          <w:p>
            <w:pPr>
              <w:jc w:val="center"/>
            </w:pPr>
            <w:r>
              <w:rPr>
                <w:sz w:val="20"/>
              </w:rPr>
              <w:t>267</w:t>
            </w:r>
          </w:p>
        </w:tc>
        <w:tc>
          <w:tcPr>
            <w:tcW w:type="dxa" w:w="1584"/>
            <w:shd w:val="clear" w:color="auto" w:fill="F5F8FF"/>
          </w:tcPr>
          <w:p>
            <w:pPr>
              <w:jc w:val="center"/>
            </w:pPr>
            <w:r>
              <w:rPr>
                <w:sz w:val="20"/>
              </w:rPr>
              <w:t>220</w:t>
            </w:r>
          </w:p>
        </w:tc>
        <w:tc>
          <w:tcPr>
            <w:tcW w:type="dxa" w:w="3456"/>
            <w:shd w:val="clear" w:color="auto" w:fill="F5F8FF"/>
          </w:tcPr>
          <w:p>
            <w:pPr>
              <w:jc w:val="center"/>
            </w:pPr>
            <w:r>
              <w:rPr>
                <w:sz w:val="20"/>
              </w:rPr>
              <w:t>+18%</w:t>
            </w:r>
          </w:p>
        </w:tc>
      </w:tr>
      <w:tr>
        <w:tc>
          <w:tcPr>
            <w:tcW w:type="dxa" w:w="2880"/>
            <w:shd w:val="clear" w:color="auto" w:fill="FFF8E8"/>
          </w:tcPr>
          <w:p>
            <w:r>
              <w:rPr>
                <w:b/>
                <w:sz w:val="20"/>
              </w:rPr>
              <w:t>Decision Tree</w:t>
            </w:r>
          </w:p>
        </w:tc>
        <w:tc>
          <w:tcPr>
            <w:tcW w:type="dxa" w:w="1584"/>
            <w:shd w:val="clear" w:color="auto" w:fill="FFF8E8"/>
          </w:tcPr>
          <w:p>
            <w:pPr>
              <w:jc w:val="center"/>
            </w:pPr>
            <w:r>
              <w:rPr>
                <w:sz w:val="20"/>
              </w:rPr>
              <w:t>479</w:t>
            </w:r>
          </w:p>
        </w:tc>
        <w:tc>
          <w:tcPr>
            <w:tcW w:type="dxa" w:w="1584"/>
            <w:shd w:val="clear" w:color="auto" w:fill="FFF8E8"/>
          </w:tcPr>
          <w:p>
            <w:pPr>
              <w:jc w:val="center"/>
            </w:pPr>
            <w:r>
              <w:rPr>
                <w:sz w:val="20"/>
              </w:rPr>
              <w:t>272</w:t>
            </w:r>
          </w:p>
        </w:tc>
        <w:tc>
          <w:tcPr>
            <w:tcW w:type="dxa" w:w="3456"/>
            <w:shd w:val="clear" w:color="auto" w:fill="FFF8E8"/>
          </w:tcPr>
          <w:p>
            <w:pPr>
              <w:jc w:val="center"/>
            </w:pPr>
            <w:r>
              <w:rPr>
                <w:sz w:val="20"/>
              </w:rPr>
              <w:t>+43%</w:t>
            </w:r>
          </w:p>
        </w:tc>
      </w:tr>
    </w:tbl>
    <w:p/>
    <w:p>
      <w:pPr>
        <w:pStyle w:val="Heading2"/>
      </w:pPr>
      <w:r>
        <w:rPr>
          <w:color w:val="1F497D"/>
        </w:rPr>
        <w:t>9.5  Why CarenR Finds No Rules Under LOESS</w:t>
      </w:r>
    </w:p>
    <w:p>
      <w:r>
        <w:rPr>
          <w:b w:val="0"/>
          <w:i w:val="0"/>
          <w:sz w:val="22"/>
        </w:rPr>
        <w:t>The apparent improvement of CarenR under LOESS (matching Naive_Median at 93 mhl) was immediately suspicious. Investigation confirmed it is entirely an artifact: CarenR falls back to the training median in all 136 predictions across all 16 scenarios. The improvement belongs to the LOESS trend, not to the rules.</w:t>
      </w:r>
    </w:p>
    <w:p>
      <w:r>
        <w:rPr>
          <w:b/>
          <w:i w:val="0"/>
          <w:sz w:val="22"/>
        </w:rPr>
        <w:t>The investigation went through three diagnostic layers:</w:t>
      </w:r>
    </w:p>
    <w:p>
      <w:r>
        <w:rPr>
          <w:b/>
          <w:i w:val="0"/>
          <w:sz w:val="22"/>
        </w:rPr>
        <w:t xml:space="preserve">Layer 1 — Feature selection collapse (initial hypothesis): </w:t>
      </w:r>
      <w:r>
        <w:rPr>
          <w:b w:val="0"/>
          <w:i w:val="0"/>
          <w:sz w:val="22"/>
        </w:rPr>
        <w:t>The Sup_Thresh variant uses a Pearson |r| &gt; 0.30 threshold filter. Under LOESS, one feature drops below this threshold, leaving only 4 precipitation features (vs 5 under linear). With such a narrow, correlated feature set, CAREN cannot form diverse subgroups. Adding CarenR_Dist_Sup_FS (top-15 features, min.sup=0.3) was intended to fix this — but also produced zero rules.</w:t>
      </w:r>
    </w:p>
    <w:p>
      <w:r>
        <w:rPr>
          <w:b/>
          <w:i w:val="0"/>
          <w:sz w:val="22"/>
        </w:rPr>
        <w:t xml:space="preserve">Layer 2 — Rules found but harmful: </w:t>
      </w:r>
      <w:r>
        <w:rPr>
          <w:b w:val="0"/>
          <w:i w:val="0"/>
          <w:sz w:val="22"/>
        </w:rPr>
        <w:t>With all features and min.sup=0.2, CAREN does find ~15 rules under LOESS. But when those rules are used for prediction, they make things worse than the naive baseline (e.g., scenario 1: CarenR_FS=276 mhl vs Naive_Median=92 mhl). Rules that hurt prediction worse than a fallback are capturing noise, not signal.</w:t>
      </w:r>
    </w:p>
    <w:p>
      <w:r>
        <w:rPr>
          <w:b/>
          <w:i w:val="0"/>
          <w:sz w:val="22"/>
        </w:rPr>
        <w:t xml:space="preserve">Layer 3 — The root cause — temporal confound under linear detrending: </w:t>
      </w:r>
      <w:r>
        <w:rPr>
          <w:b w:val="0"/>
          <w:i w:val="0"/>
          <w:sz w:val="22"/>
        </w:rPr>
        <w:t>Under linear detrending, residuals carry a systematic era bias: Q4 (high production) is dominated by 1942–1975 observations; Q1 by post-1990. Climate features that co-trend with time appear to predict production simply because they track the era. Under LOESS, all eras are balanced across bins — only genuine year-to-year meteorological variation remains. That genuine signal is too weak (after proper detrending) for CAREN to build generalizable rules.</w:t>
      </w:r>
    </w:p>
    <w:p/>
    <w:p>
      <w:pPr>
        <w:pStyle w:val="Heading1"/>
      </w:pPr>
      <w:r>
        <w:rPr>
          <w:color w:val="1F497D"/>
        </w:rPr>
        <w:t>10. Are the Rules Capturing Genuine Meteorological Effects?</w:t>
      </w:r>
    </w:p>
    <w:p>
      <w:r>
        <w:rPr>
          <w:b w:val="0"/>
          <w:i w:val="0"/>
          <w:sz w:val="22"/>
        </w:rPr>
        <w:t>This is the most important scientific question arising from the LOESS investigation. The answer is nuanced: partially yes, partially no.</w:t>
      </w:r>
    </w:p>
    <w:p>
      <w:pPr>
        <w:pStyle w:val="Heading2"/>
      </w:pPr>
      <w:r>
        <w:rPr>
          <w:color w:val="1F497D"/>
        </w:rPr>
        <w:t>10.1  Evidence That the Signal Is Real</w:t>
      </w:r>
    </w:p>
    <w:p>
      <w:r>
        <w:rPr>
          <w:b w:val="0"/>
          <w:i w:val="0"/>
          <w:sz w:val="22"/>
        </w:rPr>
        <w:t>The same meteorological variables appear at the top of the feature importance ranking under both linear and LOESS detrending:</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880"/>
            <w:shd w:val="clear" w:color="auto" w:fill="1F497D"/>
          </w:tcPr>
          <w:p>
            <w:r>
              <w:rPr>
                <w:b/>
                <w:color w:val="FFFFFF"/>
                <w:sz w:val="20"/>
              </w:rPr>
              <w:t>Feature</w:t>
            </w:r>
          </w:p>
        </w:tc>
        <w:tc>
          <w:tcPr>
            <w:tcW w:type="dxa" w:w="1296"/>
            <w:shd w:val="clear" w:color="auto" w:fill="1F497D"/>
          </w:tcPr>
          <w:p>
            <w:r>
              <w:rPr>
                <w:b/>
                <w:color w:val="FFFFFF"/>
                <w:sz w:val="20"/>
              </w:rPr>
              <w:t>|r| Linear</w:t>
            </w:r>
          </w:p>
        </w:tc>
        <w:tc>
          <w:tcPr>
            <w:tcW w:type="dxa" w:w="1296"/>
            <w:shd w:val="clear" w:color="auto" w:fill="1F497D"/>
          </w:tcPr>
          <w:p>
            <w:r>
              <w:rPr>
                <w:b/>
                <w:color w:val="FFFFFF"/>
                <w:sz w:val="20"/>
              </w:rPr>
              <w:t>|r| LOESS</w:t>
            </w:r>
          </w:p>
        </w:tc>
        <w:tc>
          <w:tcPr>
            <w:tcW w:type="dxa" w:w="4032"/>
            <w:shd w:val="clear" w:color="auto" w:fill="1F497D"/>
          </w:tcPr>
          <w:p>
            <w:r>
              <w:rPr>
                <w:b/>
                <w:color w:val="FFFFFF"/>
                <w:sz w:val="20"/>
              </w:rPr>
              <w:t>Agronomic meaning</w:t>
            </w:r>
          </w:p>
        </w:tc>
      </w:tr>
      <w:tr>
        <w:tc>
          <w:tcPr>
            <w:tcW w:type="dxa" w:w="2880"/>
            <w:shd w:val="clear" w:color="auto" w:fill="F5F8FF"/>
          </w:tcPr>
          <w:p>
            <w:r>
              <w:rPr>
                <w:rFonts w:ascii="Courier New" w:hAnsi="Courier New"/>
                <w:sz w:val="18"/>
              </w:rPr>
              <w:t>swa_fl_y1_a15</w:t>
            </w:r>
          </w:p>
        </w:tc>
        <w:tc>
          <w:tcPr>
            <w:tcW w:type="dxa" w:w="1296"/>
            <w:shd w:val="clear" w:color="auto" w:fill="F5F8FF"/>
          </w:tcPr>
          <w:p>
            <w:pPr>
              <w:jc w:val="center"/>
            </w:pPr>
            <w:r>
              <w:rPr>
                <w:sz w:val="20"/>
              </w:rPr>
              <w:t>0.513</w:t>
            </w:r>
          </w:p>
        </w:tc>
        <w:tc>
          <w:tcPr>
            <w:tcW w:type="dxa" w:w="1296"/>
            <w:shd w:val="clear" w:color="auto" w:fill="F5F8FF"/>
          </w:tcPr>
          <w:p>
            <w:pPr>
              <w:jc w:val="center"/>
            </w:pPr>
            <w:r>
              <w:rPr>
                <w:sz w:val="20"/>
              </w:rPr>
              <w:t>0.475</w:t>
            </w:r>
          </w:p>
        </w:tc>
        <w:tc>
          <w:tcPr>
            <w:tcW w:type="dxa" w:w="4032"/>
            <w:shd w:val="clear" w:color="auto" w:fill="F5F8FF"/>
          </w:tcPr>
          <w:p>
            <w:r>
              <w:rPr>
                <w:sz w:val="20"/>
              </w:rPr>
              <w:t>Soil water availability at flowering (15-day window)</w:t>
            </w:r>
          </w:p>
        </w:tc>
      </w:tr>
      <w:tr>
        <w:tc>
          <w:tcPr>
            <w:tcW w:type="dxa" w:w="2880"/>
            <w:shd w:val="clear" w:color="auto" w:fill="FFFFFF"/>
          </w:tcPr>
          <w:p>
            <w:r>
              <w:rPr>
                <w:rFonts w:ascii="Courier New" w:hAnsi="Courier New"/>
                <w:sz w:val="18"/>
              </w:rPr>
              <w:t>swa_fl_y1_a30</w:t>
            </w:r>
          </w:p>
        </w:tc>
        <w:tc>
          <w:tcPr>
            <w:tcW w:type="dxa" w:w="1296"/>
            <w:shd w:val="clear" w:color="auto" w:fill="FFFFFF"/>
          </w:tcPr>
          <w:p>
            <w:pPr>
              <w:jc w:val="center"/>
            </w:pPr>
            <w:r>
              <w:rPr>
                <w:sz w:val="20"/>
              </w:rPr>
              <w:t>0.505</w:t>
            </w:r>
          </w:p>
        </w:tc>
        <w:tc>
          <w:tcPr>
            <w:tcW w:type="dxa" w:w="1296"/>
            <w:shd w:val="clear" w:color="auto" w:fill="FFFFFF"/>
          </w:tcPr>
          <w:p>
            <w:pPr>
              <w:jc w:val="center"/>
            </w:pPr>
            <w:r>
              <w:rPr>
                <w:sz w:val="20"/>
              </w:rPr>
              <w:t>0.475</w:t>
            </w:r>
          </w:p>
        </w:tc>
        <w:tc>
          <w:tcPr>
            <w:tcW w:type="dxa" w:w="4032"/>
            <w:shd w:val="clear" w:color="auto" w:fill="FFFFFF"/>
          </w:tcPr>
          <w:p>
            <w:r>
              <w:rPr>
                <w:sz w:val="20"/>
              </w:rPr>
              <w:t>Soil water availability at flowering (30-day window)</w:t>
            </w:r>
          </w:p>
        </w:tc>
      </w:tr>
      <w:tr>
        <w:tc>
          <w:tcPr>
            <w:tcW w:type="dxa" w:w="2880"/>
            <w:shd w:val="clear" w:color="auto" w:fill="F5F8FF"/>
          </w:tcPr>
          <w:p>
            <w:r>
              <w:rPr>
                <w:rFonts w:ascii="Courier New" w:hAnsi="Courier New"/>
                <w:sz w:val="18"/>
              </w:rPr>
              <w:t>rf_fl_y1_a10</w:t>
            </w:r>
          </w:p>
        </w:tc>
        <w:tc>
          <w:tcPr>
            <w:tcW w:type="dxa" w:w="1296"/>
            <w:shd w:val="clear" w:color="auto" w:fill="F5F8FF"/>
          </w:tcPr>
          <w:p>
            <w:pPr>
              <w:jc w:val="center"/>
            </w:pPr>
            <w:r>
              <w:rPr>
                <w:sz w:val="20"/>
              </w:rPr>
              <w:t>0.391</w:t>
            </w:r>
          </w:p>
        </w:tc>
        <w:tc>
          <w:tcPr>
            <w:tcW w:type="dxa" w:w="1296"/>
            <w:shd w:val="clear" w:color="auto" w:fill="F5F8FF"/>
          </w:tcPr>
          <w:p>
            <w:pPr>
              <w:jc w:val="center"/>
            </w:pPr>
            <w:r>
              <w:rPr>
                <w:sz w:val="20"/>
              </w:rPr>
              <w:t>0.362</w:t>
            </w:r>
          </w:p>
        </w:tc>
        <w:tc>
          <w:tcPr>
            <w:tcW w:type="dxa" w:w="4032"/>
            <w:shd w:val="clear" w:color="auto" w:fill="F5F8FF"/>
          </w:tcPr>
          <w:p>
            <w:r>
              <w:rPr>
                <w:sz w:val="20"/>
              </w:rPr>
              <w:t>Rainfall at flowering (10-day window)</w:t>
            </w:r>
          </w:p>
        </w:tc>
      </w:tr>
      <w:tr>
        <w:tc>
          <w:tcPr>
            <w:tcW w:type="dxa" w:w="2880"/>
            <w:shd w:val="clear" w:color="auto" w:fill="FFFFFF"/>
          </w:tcPr>
          <w:p>
            <w:r>
              <w:rPr>
                <w:rFonts w:ascii="Courier New" w:hAnsi="Courier New"/>
                <w:sz w:val="18"/>
              </w:rPr>
              <w:t>days.rf.above.1mm_fl_y1_c15</w:t>
            </w:r>
          </w:p>
        </w:tc>
        <w:tc>
          <w:tcPr>
            <w:tcW w:type="dxa" w:w="1296"/>
            <w:shd w:val="clear" w:color="auto" w:fill="FFFFFF"/>
          </w:tcPr>
          <w:p>
            <w:pPr>
              <w:jc w:val="center"/>
            </w:pPr>
            <w:r>
              <w:rPr>
                <w:sz w:val="20"/>
              </w:rPr>
              <w:t>0.358</w:t>
            </w:r>
          </w:p>
        </w:tc>
        <w:tc>
          <w:tcPr>
            <w:tcW w:type="dxa" w:w="1296"/>
            <w:shd w:val="clear" w:color="auto" w:fill="FFFFFF"/>
          </w:tcPr>
          <w:p>
            <w:pPr>
              <w:jc w:val="center"/>
            </w:pPr>
            <w:r>
              <w:rPr>
                <w:sz w:val="20"/>
              </w:rPr>
              <w:t>0.354</w:t>
            </w:r>
          </w:p>
        </w:tc>
        <w:tc>
          <w:tcPr>
            <w:tcW w:type="dxa" w:w="4032"/>
            <w:shd w:val="clear" w:color="auto" w:fill="FFFFFF"/>
          </w:tcPr>
          <w:p>
            <w:r>
              <w:rPr>
                <w:sz w:val="20"/>
              </w:rPr>
              <w:t>Rainy days at flowering</w:t>
            </w:r>
          </w:p>
        </w:tc>
      </w:tr>
    </w:tbl>
    <w:p/>
    <w:p>
      <w:r>
        <w:rPr>
          <w:b w:val="0"/>
          <w:i w:val="0"/>
          <w:sz w:val="22"/>
        </w:rPr>
        <w:t>These are agronomically meaningful variables. Soil water availability and rainfall during the flowering phenological phase are among the best-documented drivers of berry set and ultimately annual yield in viticulture literature. The correlations drop slightly under LOESS (e.g., 0.51 → 0.47 for swa_fl_y1_a15) but the ranking and direction are preserved. This confirms that the direction of the identified relationships is correct.</w:t>
      </w:r>
    </w:p>
    <w:p>
      <w:pPr>
        <w:pStyle w:val="Heading2"/>
      </w:pPr>
      <w:r>
        <w:rPr>
          <w:color w:val="1F497D"/>
        </w:rPr>
        <w:t>10.2  Evidence That the Signal Is Partially Inflated</w:t>
      </w:r>
    </w:p>
    <w:p>
      <w:r>
        <w:rPr>
          <w:b w:val="0"/>
          <w:i w:val="0"/>
          <w:sz w:val="22"/>
        </w:rPr>
        <w:t>Under linear detrending, the bin structure shows a clear era bias: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3600"/>
            <w:shd w:val="clear" w:color="auto" w:fill="1F497D"/>
          </w:tcPr>
          <w:p>
            <w:r>
              <w:rPr>
                <w:b/>
                <w:color w:val="FFFFFF"/>
                <w:sz w:val="20"/>
              </w:rPr>
              <w:t>Bin (linear detrend)</w:t>
            </w:r>
          </w:p>
        </w:tc>
        <w:tc>
          <w:tcPr>
            <w:tcW w:type="dxa" w:w="1440"/>
            <w:shd w:val="clear" w:color="auto" w:fill="1F497D"/>
          </w:tcPr>
          <w:p>
            <w:r>
              <w:rPr>
                <w:b/>
                <w:color w:val="FFFFFF"/>
                <w:sz w:val="20"/>
              </w:rPr>
              <w:t>1942–1975</w:t>
            </w:r>
          </w:p>
        </w:tc>
        <w:tc>
          <w:tcPr>
            <w:tcW w:type="dxa" w:w="1440"/>
            <w:shd w:val="clear" w:color="auto" w:fill="1F497D"/>
          </w:tcPr>
          <w:p>
            <w:r>
              <w:rPr>
                <w:b/>
                <w:color w:val="FFFFFF"/>
                <w:sz w:val="20"/>
              </w:rPr>
              <w:t>1976–1990</w:t>
            </w:r>
          </w:p>
        </w:tc>
        <w:tc>
          <w:tcPr>
            <w:tcW w:type="dxa" w:w="1440"/>
            <w:shd w:val="clear" w:color="auto" w:fill="1F497D"/>
          </w:tcPr>
          <w:p>
            <w:r>
              <w:rPr>
                <w:b/>
                <w:color w:val="FFFFFF"/>
                <w:sz w:val="20"/>
              </w:rPr>
              <w:t>1991–2005</w:t>
            </w:r>
          </w:p>
        </w:tc>
      </w:tr>
      <w:tr>
        <w:tc>
          <w:tcPr>
            <w:tcW w:type="dxa" w:w="3600"/>
            <w:shd w:val="clear" w:color="auto" w:fill="E8F4E8"/>
          </w:tcPr>
          <w:p>
            <w:r>
              <w:rPr>
                <w:sz w:val="20"/>
              </w:rPr>
              <w:t>Q1 (low production residual)</w:t>
            </w:r>
          </w:p>
        </w:tc>
        <w:tc>
          <w:tcPr>
            <w:tcW w:type="dxa" w:w="1440"/>
            <w:shd w:val="clear" w:color="auto" w:fill="E8F4E8"/>
          </w:tcPr>
          <w:p>
            <w:pPr>
              <w:jc w:val="center"/>
            </w:pPr>
            <w:r>
              <w:rPr>
                <w:sz w:val="20"/>
              </w:rPr>
              <w:t>9</w:t>
            </w:r>
          </w:p>
        </w:tc>
        <w:tc>
          <w:tcPr>
            <w:tcW w:type="dxa" w:w="1440"/>
            <w:shd w:val="clear" w:color="auto" w:fill="E8F4E8"/>
          </w:tcPr>
          <w:p>
            <w:pPr>
              <w:jc w:val="center"/>
            </w:pPr>
            <w:r>
              <w:rPr>
                <w:sz w:val="20"/>
              </w:rPr>
              <w:t>1</w:t>
            </w:r>
          </w:p>
        </w:tc>
        <w:tc>
          <w:tcPr>
            <w:tcW w:type="dxa" w:w="1440"/>
            <w:shd w:val="clear" w:color="auto" w:fill="E8F4E8"/>
          </w:tcPr>
          <w:p>
            <w:pPr>
              <w:jc w:val="center"/>
            </w:pPr>
            <w:r>
              <w:rPr>
                <w:sz w:val="20"/>
              </w:rPr>
              <w:t>6</w:t>
            </w:r>
          </w:p>
        </w:tc>
      </w:tr>
      <w:tr>
        <w:tc>
          <w:tcPr>
            <w:tcW w:type="dxa" w:w="3600"/>
            <w:shd w:val="clear" w:color="auto" w:fill="FFFFFF"/>
          </w:tcPr>
          <w:p>
            <w:r>
              <w:rPr>
                <w:sz w:val="20"/>
              </w:rPr>
              <w:t>Q2</w:t>
            </w:r>
          </w:p>
        </w:tc>
        <w:tc>
          <w:tcPr>
            <w:tcW w:type="dxa" w:w="1440"/>
            <w:shd w:val="clear" w:color="auto" w:fill="FFFFFF"/>
          </w:tcPr>
          <w:p>
            <w:pPr>
              <w:jc w:val="center"/>
            </w:pPr>
            <w:r>
              <w:rPr>
                <w:sz w:val="20"/>
              </w:rPr>
              <w:t>8</w:t>
            </w:r>
          </w:p>
        </w:tc>
        <w:tc>
          <w:tcPr>
            <w:tcW w:type="dxa" w:w="1440"/>
            <w:shd w:val="clear" w:color="auto" w:fill="FFFFFF"/>
          </w:tcPr>
          <w:p>
            <w:pPr>
              <w:jc w:val="center"/>
            </w:pPr>
            <w:r>
              <w:rPr>
                <w:sz w:val="20"/>
              </w:rPr>
              <w:t>4</w:t>
            </w:r>
          </w:p>
        </w:tc>
        <w:tc>
          <w:tcPr>
            <w:tcW w:type="dxa" w:w="1440"/>
            <w:shd w:val="clear" w:color="auto" w:fill="FFFFFF"/>
          </w:tcPr>
          <w:p>
            <w:pPr>
              <w:jc w:val="center"/>
            </w:pPr>
            <w:r>
              <w:rPr>
                <w:sz w:val="20"/>
              </w:rPr>
              <w:t>4</w:t>
            </w:r>
          </w:p>
        </w:tc>
      </w:tr>
      <w:tr>
        <w:tc>
          <w:tcPr>
            <w:tcW w:type="dxa" w:w="3600"/>
            <w:shd w:val="clear" w:color="auto" w:fill="F5F8FF"/>
          </w:tcPr>
          <w:p>
            <w:r>
              <w:rPr>
                <w:sz w:val="20"/>
              </w:rPr>
              <w:t>Q3</w:t>
            </w:r>
          </w:p>
        </w:tc>
        <w:tc>
          <w:tcPr>
            <w:tcW w:type="dxa" w:w="1440"/>
            <w:shd w:val="clear" w:color="auto" w:fill="F5F8FF"/>
          </w:tcPr>
          <w:p>
            <w:pPr>
              <w:jc w:val="center"/>
            </w:pPr>
            <w:r>
              <w:rPr>
                <w:sz w:val="20"/>
              </w:rPr>
              <w:t>6</w:t>
            </w:r>
          </w:p>
        </w:tc>
        <w:tc>
          <w:tcPr>
            <w:tcW w:type="dxa" w:w="1440"/>
            <w:shd w:val="clear" w:color="auto" w:fill="F5F8FF"/>
          </w:tcPr>
          <w:p>
            <w:pPr>
              <w:jc w:val="center"/>
            </w:pPr>
            <w:r>
              <w:rPr>
                <w:sz w:val="20"/>
              </w:rPr>
              <w:t>6</w:t>
            </w:r>
          </w:p>
        </w:tc>
        <w:tc>
          <w:tcPr>
            <w:tcW w:type="dxa" w:w="1440"/>
            <w:shd w:val="clear" w:color="auto" w:fill="F5F8FF"/>
          </w:tcPr>
          <w:p>
            <w:pPr>
              <w:jc w:val="center"/>
            </w:pPr>
            <w:r>
              <w:rPr>
                <w:sz w:val="20"/>
              </w:rPr>
              <w:t>4</w:t>
            </w:r>
          </w:p>
        </w:tc>
      </w:tr>
      <w:tr>
        <w:tc>
          <w:tcPr>
            <w:tcW w:type="dxa" w:w="3600"/>
            <w:shd w:val="clear" w:color="auto" w:fill="FFE8E8"/>
          </w:tcPr>
          <w:p>
            <w:r>
              <w:rPr>
                <w:sz w:val="20"/>
              </w:rPr>
              <w:t>Q4 (high production residual)</w:t>
            </w:r>
          </w:p>
        </w:tc>
        <w:tc>
          <w:tcPr>
            <w:tcW w:type="dxa" w:w="1440"/>
            <w:shd w:val="clear" w:color="auto" w:fill="FFE8E8"/>
          </w:tcPr>
          <w:p>
            <w:pPr>
              <w:jc w:val="center"/>
            </w:pPr>
            <w:r>
              <w:rPr>
                <w:sz w:val="20"/>
              </w:rPr>
              <w:t>11</w:t>
            </w:r>
          </w:p>
        </w:tc>
        <w:tc>
          <w:tcPr>
            <w:tcW w:type="dxa" w:w="1440"/>
            <w:shd w:val="clear" w:color="auto" w:fill="FFE8E8"/>
          </w:tcPr>
          <w:p>
            <w:pPr>
              <w:jc w:val="center"/>
            </w:pPr>
            <w:r>
              <w:rPr>
                <w:sz w:val="20"/>
              </w:rPr>
              <w:t>4</w:t>
            </w:r>
          </w:p>
        </w:tc>
        <w:tc>
          <w:tcPr>
            <w:tcW w:type="dxa" w:w="1440"/>
            <w:shd w:val="clear" w:color="auto" w:fill="FFE8E8"/>
          </w:tcPr>
          <w:p>
            <w:pPr>
              <w:jc w:val="center"/>
            </w:pPr>
            <w:r>
              <w:rPr>
                <w:sz w:val="20"/>
              </w:rPr>
              <w:t>1</w:t>
            </w:r>
          </w:p>
        </w:tc>
      </w:tr>
    </w:tbl>
    <w:p/>
    <w:p>
      <w:r>
        <w:rPr>
          <w:b w:val="0"/>
          <w:i w:val="0"/>
          <w:sz w:val="22"/>
        </w:rPr>
        <w:t>Q4 (high production) is dominated by 1942–1975 observations (11/16); Q1 (low production) by the post-1990 era (6/16). This means that any climate variable which changed systematically between eras — even for reasons unrelated to annual yield mechanics — will appear to predict production. The long-term structural decline in production was driven by factors beyond climate (vineyard area reduction, appellation regulations, production method changes) that the linear trend does not fully capture.</w:t>
      </w:r>
    </w:p>
    <w:p>
      <w:r>
        <w:rPr>
          <w:b w:val="0"/>
          <w:i w:val="0"/>
          <w:sz w:val="22"/>
        </w:rPr>
        <w:t>Under LOESS detrending, all eras are balanced across bins (Q1–Q4 each have 8–10, 3–5, and 3–6 observations from each era respectively), removing this confound. The climate features that survive this stricter test are genuinely associated with year-to-year production variation, not with the era.</w:t>
      </w:r>
    </w:p>
    <w:p>
      <w:pPr>
        <w:pStyle w:val="Heading2"/>
      </w:pPr>
      <w:r>
        <w:rPr>
          <w:color w:val="1F497D"/>
        </w:rPr>
        <w:t>10.3  The Honest Scientific Statement</w:t>
      </w:r>
    </w:p>
    <w:p>
      <w:r>
        <w:rPr>
          <w:b w:val="0"/>
          <w:i w:val="0"/>
          <w:sz w:val="22"/>
        </w:rPr>
        <w:t>The CarenR rules under linear detrending identify meteorologically meaningful variables — particularly soil water availability and rainfall at flowering — that are supported by viticulture literature as genuine yield drivers. The direction of these relationships is correct and agronomically interpretable.</w:t>
      </w:r>
    </w:p>
    <w:p>
      <w:r>
        <w:rPr>
          <w:b w:val="0"/>
          <w:i w:val="0"/>
          <w:sz w:val="22"/>
        </w:rPr>
        <w:t>However, the quantitative strength of these rules is partially inflated by residual temporal confounds from incomplete trend removal. Some rules reflect long-term co-trends between climate indices and the structural production decline, rather than year-to-year causal relationships.</w:t>
      </w:r>
    </w:p>
    <w:p>
      <w:r>
        <w:rPr>
          <w:b w:val="0"/>
          <w:i/>
          <w:sz w:val="22"/>
        </w:rPr>
        <w:t>Under proper LOESS detrending, the genuine within-era meteorological signal is real but too weak for CAREN to build statistically robust, generalizable rules across the 16 walk-forward scenarios. This is consistent with the known high stochasticity of wine yields even under controlled climate conditions — annual yield is influenced by many factors (hail, disease pressure, vine age, pruning decisions) that are not captured by regional climate indices.</w:t>
      </w:r>
    </w:p>
    <w:p>
      <w:pPr>
        <w:pStyle w:val="Heading1"/>
      </w:pPr>
      <w:r>
        <w:rPr>
          <w:color w:val="1F497D"/>
        </w:rPr>
        <w:t>11. Final Answer: Can We Predict Wine Production?</w:t>
      </w:r>
    </w:p>
    <w:p>
      <w:r>
        <w:rPr>
          <w:b w:val="0"/>
          <w:i w:val="0"/>
          <w:sz w:val="22"/>
        </w:rPr>
        <w:t>This question deserves a direct, structured answer at multiple levels.</w:t>
      </w:r>
    </w:p>
    <w:p>
      <w:pPr>
        <w:pStyle w:val="Heading2"/>
      </w:pPr>
      <w:r>
        <w:rPr>
          <w:color w:val="1F497D"/>
        </w:rPr>
        <w:t>11.1  Short Answer</w:t>
      </w:r>
    </w:p>
    <w:p>
      <w:r>
        <w:rPr>
          <w:b w:val="0"/>
          <w:i w:val="0"/>
          <w:sz w:val="22"/>
        </w:rPr>
        <w:t>No — not reliably better than a naive baseline, using annual regional climate indices as predictors with rule-based models. The best achievable prediction (Naive median under LOESS detrending) has a mean absolute error of ~90 mhl, equivalent to ~11% of mean production in the test period. No rule-based model consistently improves on this.</w:t>
      </w:r>
    </w:p>
    <w:p>
      <w:pPr>
        <w:pStyle w:val="Heading2"/>
      </w:pPr>
      <w:r>
        <w:rPr>
          <w:color w:val="1F497D"/>
        </w:rPr>
        <w:t>11.2  Why Not?</w:t>
      </w:r>
    </w:p>
    <w:p>
      <w:r>
        <w:rPr>
          <w:b/>
          <w:i w:val="0"/>
          <w:sz w:val="22"/>
        </w:rPr>
        <w:t xml:space="preserve">Fundamental stochasticity: </w:t>
      </w:r>
      <w:r>
        <w:rPr>
          <w:b w:val="0"/>
          <w:i w:val="0"/>
          <w:sz w:val="22"/>
        </w:rPr>
        <w:t>Annual wine yield at regional scale is determined by a cascade of processes — flowering success, berry development, disease, frost, harvest timing, grower decisions — many of which are not captured by meteorological station data. The irreducible noise floor is high.</w:t>
      </w:r>
    </w:p>
    <w:p>
      <w:r>
        <w:rPr>
          <w:b/>
          <w:i w:val="0"/>
          <w:sz w:val="22"/>
        </w:rPr>
        <w:t xml:space="preserve">Weak climate signal in the test period: </w:t>
      </w:r>
      <w:r>
        <w:rPr>
          <w:b w:val="0"/>
          <w:i w:val="0"/>
          <w:sz w:val="22"/>
        </w:rPr>
        <w:t>The test period (2006–2021) represents a stabilised production regime with smaller year-to-year variation (CV ~11%) than the full historical series (CV ~47%). In a low-variance regime, the signal-to-noise ratio of any predictor is reduced.</w:t>
      </w:r>
    </w:p>
    <w:p>
      <w:r>
        <w:rPr>
          <w:b/>
          <w:i w:val="0"/>
          <w:sz w:val="22"/>
        </w:rPr>
        <w:t xml:space="preserve">Training data limitation: </w:t>
      </w:r>
      <w:r>
        <w:rPr>
          <w:b w:val="0"/>
          <w:i w:val="0"/>
          <w:sz w:val="22"/>
        </w:rPr>
        <w:t>With 64–79 observations and the need for a minimum 80% training split, each scenario's training set is too small to reliably estimate complex climate-production relationships. Rule-based models are particularly sensitive to this.</w:t>
      </w:r>
    </w:p>
    <w:p>
      <w:r>
        <w:rPr>
          <w:b/>
          <w:i w:val="0"/>
          <w:sz w:val="22"/>
        </w:rPr>
        <w:t xml:space="preserve">Temporal confound in rules: </w:t>
      </w:r>
      <w:r>
        <w:rPr>
          <w:b w:val="0"/>
          <w:i w:val="0"/>
          <w:sz w:val="22"/>
        </w:rPr>
        <w:t>Some of the apparent predictive signal under linear detrending is a confound — climate features correlating with the era of production rather than with genuine year-to-year yield variation.</w:t>
      </w:r>
    </w:p>
    <w:p>
      <w:r>
        <w:rPr>
          <w:b/>
          <w:i w:val="0"/>
          <w:sz w:val="22"/>
        </w:rPr>
        <w:t xml:space="preserve">Optimality of the naive baseline: </w:t>
      </w:r>
      <w:r>
        <w:rPr>
          <w:b w:val="0"/>
          <w:i w:val="0"/>
          <w:sz w:val="22"/>
        </w:rPr>
        <w:t>The MAE-optimal constant predictor is the median. In a high-noise domain, no model can systematically beat this without capturing genuine systematic variance. The climate signal is insufficient to clear this bar.</w:t>
      </w:r>
    </w:p>
    <w:p>
      <w:pPr>
        <w:pStyle w:val="Heading2"/>
      </w:pPr>
      <w:r>
        <w:rPr>
          <w:color w:val="1F497D"/>
        </w:rPr>
        <w:t>11.3  What We CAN Say</w:t>
      </w:r>
    </w:p>
    <w:p>
      <w:pPr>
        <w:pStyle w:val="ListBullet"/>
      </w:pPr>
      <w:r>
        <w:rPr>
          <w:i w:val="0"/>
          <w:sz w:val="22"/>
        </w:rPr>
        <w:t>The identified meteorological variables (soil water at flowering, rainfall at flowering) are genuine drivers of year-to-year yield variation, consistent with viticulture science. The direction of the rules is correct.</w:t>
      </w:r>
    </w:p>
    <w:p>
      <w:pPr>
        <w:pStyle w:val="ListBullet"/>
      </w:pPr>
      <w:r>
        <w:rPr>
          <w:i w:val="0"/>
          <w:sz w:val="22"/>
        </w:rPr>
        <w:t>CarenR rules outperform all other rule-based ML approaches (DT, RIPPER, M5Rules) under linear detrending, suggesting the subgroup discovery framework captures more structure than discriminative learners.</w:t>
      </w:r>
    </w:p>
    <w:p>
      <w:pPr>
        <w:pStyle w:val="ListBullet"/>
      </w:pPr>
      <w:r>
        <w:rPr>
          <w:i w:val="0"/>
          <w:sz w:val="22"/>
        </w:rPr>
        <w:t>The CarenR Stack model (rules + lag regression) explains ~27% of variance in held-out test scenarios — a meaningful result given the domain's stochasticity.</w:t>
      </w:r>
    </w:p>
    <w:p>
      <w:pPr>
        <w:pStyle w:val="ListBullet"/>
      </w:pPr>
      <w:r>
        <w:rPr>
          <w:i w:val="0"/>
          <w:sz w:val="22"/>
        </w:rPr>
        <w:t>The 3- and 5-year production autocorrelation (consistently detected by ACF) is a genuine domain finding, potentially reflecting vine replanting cycles.</w:t>
      </w:r>
    </w:p>
    <w:p>
      <w:pPr>
        <w:pStyle w:val="ListBullet"/>
      </w:pPr>
      <w:r>
        <w:rPr>
          <w:i w:val="0"/>
          <w:sz w:val="22"/>
        </w:rPr>
        <w:t>Under proper LOESS detrending, naive baselines improve by 34–48%. This means better trend modelling alone is the largest single improvement lever — more impactful than any modelling choice.</w:t>
      </w:r>
    </w:p>
    <w:p>
      <w:pPr>
        <w:pStyle w:val="Heading2"/>
      </w:pPr>
      <w:r>
        <w:rPr>
          <w:color w:val="1F497D"/>
        </w:rPr>
        <w:t>11.4  The Thesis Contribution</w:t>
      </w:r>
    </w:p>
    <w:p>
      <w:r>
        <w:rPr>
          <w:b/>
          <w:i w:val="0"/>
          <w:sz w:val="22"/>
        </w:rPr>
        <w:t>The primary contribution is not prediction — it is the methodological framework and the domain findings it produces:</w:t>
      </w:r>
    </w:p>
    <w:p>
      <w:pPr>
        <w:pStyle w:val="ListBullet"/>
      </w:pPr>
      <w:r>
        <w:rPr>
          <w:i w:val="0"/>
          <w:sz w:val="22"/>
        </w:rPr>
        <w:t>A rigorous walk-forward validation framework with fold-correct detrending, scenario-based evaluation, and honest multi-metric reporting.</w:t>
      </w:r>
    </w:p>
    <w:p>
      <w:pPr>
        <w:pStyle w:val="ListBullet"/>
      </w:pPr>
      <w:r>
        <w:rPr>
          <w:i w:val="0"/>
          <w:sz w:val="22"/>
        </w:rPr>
        <w:t>Identification of which climate variables are genuinely associated with production variation (flowering-phase soil water and rainfall) vs. which are temporal confounds.</w:t>
      </w:r>
    </w:p>
    <w:p>
      <w:pPr>
        <w:pStyle w:val="ListBullet"/>
      </w:pPr>
      <w:r>
        <w:rPr>
          <w:i w:val="0"/>
          <w:sz w:val="22"/>
        </w:rPr>
        <w:t>Quantification of the genuine climate-production signal strength (~0.47 correlation at best) and its implications for predictability.</w:t>
      </w:r>
    </w:p>
    <w:p>
      <w:pPr>
        <w:pStyle w:val="ListBullet"/>
      </w:pPr>
      <w:r>
        <w:rPr>
          <w:i w:val="0"/>
          <w:sz w:val="22"/>
        </w:rPr>
        <w:t>Demonstration that LOESS detrending is methodologically superior but reveals a weaker climate signal — a finding that reframes what 'good' predictions would require in this domain.</w:t>
      </w:r>
    </w:p>
    <w:p>
      <w:pPr>
        <w:pStyle w:val="ListBullet"/>
      </w:pPr>
      <w:r>
        <w:rPr>
          <w:i w:val="0"/>
          <w:sz w:val="22"/>
        </w:rPr>
        <w:t>A clear boundary condition: annual regional wine yield forecasting from climate alone requires better process models, finer spatial resolution, or ensemble approaches — this work defines the ceiling of what data-driven rule mining can achieve with the available data.</w:t>
      </w:r>
    </w:p>
    <w:p>
      <w:r>
        <w:rPr>
          <w:b w:val="0"/>
          <w:i/>
          <w:sz w:val="22"/>
        </w:rPr>
        <w:t>This is a complete, honest, and scientifically valuable set of findings. Negative results that are well-explained and methodologically rigorous are publishable and thesis-worthy — they define the problem boundary for future work.</w:t>
      </w:r>
    </w:p>
    <w:p/>
    <w:p>
      <w:pPr>
        <w:jc w:val="right"/>
      </w:pPr>
      <w:r>
        <w:rPr>
          <w:i/>
          <w:color w:val="909090"/>
          <w:sz w:val="18"/>
        </w:rPr>
        <w:t>Updated: May 2026 — LOESS investigation, meteorological signal analysis, and final predictive conclusions added</w:t>
      </w:r>
    </w:p>
    <w:p>
      <w:pPr>
        <w:pStyle w:val="Heading2"/>
      </w:pPr>
      <w:r>
        <w:rPr>
          <w:color w:val="1F497D"/>
          <w:sz w:val="22"/>
        </w:rPr>
        <w:t>11.5 The Counterintuitive Finding: Rules Exist but Cannot Predict</w:t>
      </w:r>
    </w:p>
    <w:p>
      <w:pPr/>
      <w:r>
        <w:rPr>
          <w:sz w:val="22"/>
        </w:rPr>
        <w:t>A natural question arises: if CarenR identifies meteorologically meaningful variables (flowering-phase soil water, flowering rainfall), why can it not produce good predictions? Rules discovery appears to succeed while prediction fails. This is explained by the asymmetry between the two tasks.</w:t>
      </w:r>
    </w:p>
    <w:p>
      <w:pPr>
        <w:pStyle w:val="ListBullet"/>
      </w:pPr>
      <w:r>
        <w:rPr>
          <w:sz w:val="22"/>
        </w:rPr>
        <w:t>Rule discovery asks: 'In the historical record, which conditions co-occurred with high or low production?' A weak association (r~0.47, explaining 22% of variance) is sufficient — CAREN only needs the pattern to exist, not dominate.</w:t>
      </w:r>
    </w:p>
    <w:p>
      <w:pPr>
        <w:pStyle w:val="ListBullet"/>
      </w:pPr>
      <w:r>
        <w:rPr>
          <w:sz w:val="22"/>
        </w:rPr>
        <w:t>Prediction asks: 'Given this year's conditions, how much wine will be produced?' This requires the pattern to overcome the 78% unexplained variance. With CV=47% and swings of 300-700 mhl per year, a rule correct 60% of the time still loses to the training median in MAE — the 40% of wrong predictions carry large errors.</w:t>
      </w:r>
    </w:p>
    <w:p>
      <w:pPr/>
      <w:r>
        <w:rPr>
          <w:sz w:val="22"/>
        </w:rPr>
        <w:t>This asymmetry — strong enough for description, too weak for prediction — is the core scientific finding. The supervised discretization experiment (Section 12) confirms it: even tuning feature bins directly to the production target makes predictions worse, not better. That is the signature of a noise-limited problem, not a method-limited one.</w:t>
      </w:r>
    </w:p>
    <w:p>
      <w:r>
        <w:br w:type="page"/>
      </w:r>
    </w:p>
    <w:p>
      <w:pPr>
        <w:pStyle w:val="Heading1"/>
      </w:pPr>
      <w:r>
        <w:rPr>
          <w:color w:val="1F497D"/>
        </w:rPr>
        <w:t>12. Discretization Investigation</w:t>
      </w:r>
    </w:p>
    <w:p>
      <w:r>
        <w:rPr>
          <w:b w:val="0"/>
          <w:i w:val="0"/>
          <w:sz w:val="22"/>
        </w:rPr>
        <w:t>Following the LOESS detrending analysis (Section 9), we examined whether the discretization method applied to meteorological features was limiting rule discovery and prediction quality. This investigation identified two structural problems with the current approach and tested a supervised alternative.</w:t>
      </w:r>
    </w:p>
    <w:p>
      <w:pPr>
        <w:pStyle w:val="Heading2"/>
      </w:pPr>
      <w:r>
        <w:rPr>
          <w:color w:val="1F497D"/>
        </w:rPr>
        <w:t>12.1 Current Discretization Approach</w:t>
      </w:r>
    </w:p>
    <w:p>
      <w:r>
        <w:rPr>
          <w:b w:val="0"/>
          <w:i w:val="0"/>
          <w:sz w:val="22"/>
        </w:rPr>
        <w:t>The pipeline applies two separate discretization steps:</w:t>
      </w:r>
    </w:p>
    <w:p>
      <w:pPr>
        <w:pStyle w:val="ListBullet"/>
      </w:pPr>
      <w:r>
        <w:rPr>
          <w:sz w:val="22"/>
        </w:rPr>
        <w:t>Feature discretization (Script 2, run once globally): Equal-frequency binning into 3 tertile bins (Low / Medium / High), with a k-means 2-bin fallback for mass-clustered features (e.g., IAF indices that are pinned at 0 during the leaf-off season). The resulting df_disc CSV is computed from the full 80-year dataset and reused across all scenario validation folds.</w:t>
      </w:r>
    </w:p>
    <w:p>
      <w:pPr>
        <w:pStyle w:val="ListBullet"/>
      </w:pPr>
      <w:r>
        <w:rPr>
          <w:sz w:val="22"/>
        </w:rPr>
        <w:t>Target discretization (Script 6, per fold): Quartile binning (Q1–Q4) of the detrended training residuals only. Correctly applied inside the scenario loop with no data leakage.</w:t>
      </w:r>
    </w:p>
    <w:p>
      <w:pPr>
        <w:pStyle w:val="Heading2"/>
      </w:pPr>
      <w:r>
        <w:rPr>
          <w:color w:val="1F497D"/>
        </w:rPr>
        <w:t>12.2 Two Structural Problems Identified</w:t>
      </w:r>
    </w:p>
    <w:p>
      <w:r>
        <w:rPr>
          <w:b w:val="0"/>
          <w:i w:val="0"/>
          <w:sz w:val="22"/>
        </w:rPr>
        <w:t>Inspection of how df_disc is used inside the walk-forward scenario loop revealed two problems:</w:t>
      </w:r>
    </w:p>
    <w:p>
      <w:pPr>
        <w:pStyle w:val="Heading3"/>
      </w:pPr>
      <w:r>
        <w:rPr>
          <w:color w:val="1F497D"/>
        </w:rPr>
        <w:t>12.2.1 Data Leakage in Feature Bins</w:t>
      </w:r>
    </w:p>
    <w:p>
      <w:r>
        <w:rPr>
          <w:b w:val="0"/>
          <w:i w:val="0"/>
          <w:sz w:val="22"/>
        </w:rPr>
        <w:t>The feature bin cut points (tertile boundaries) are computed on all 80 years of data — including the test years. Inside the scenario loop, the code slices the pre-computed disc dataset (train_disc &lt;- df_disc[1:te, ]) but uses cut points that reflect the full 1942-2021 distribution. This means that for scenario 1 (training 1942-2005, test 2006-2021), the Low/High threshold for a feature like swa_fl_y1_a15 is influenced by 16 test observations that should be unseen at discovery time.</w:t>
      </w:r>
    </w:p>
    <w:p>
      <w:r>
        <w:rPr>
          <w:b w:val="0"/>
          <w:i w:val="0"/>
          <w:sz w:val="22"/>
        </w:rPr>
        <w:t>Note: this leakage is benign for purely descriptive rule mining (Scripts 3-5), where the goal is to understand historical patterns across the full dataset. It becomes a methodological concern in the predictive walk-forward context (Script 6), where fold-correct feature processing is expected.</w:t>
      </w:r>
    </w:p>
    <w:p>
      <w:r>
        <w:rPr>
          <w:b w:val="0"/>
          <w:i w:val="0"/>
          <w:sz w:val="22"/>
        </w:rPr>
        <w:t>Important technical distinction: because parse_one_condition() converts CAREN interval strings (e.g., feature=[450|600)) into numeric inequalities (v(obs,'feature') &gt;= 450 &amp; v(obs,'feature') &lt; 600), rule prediction always evaluates against continuous test feature values. There is no test-set discretization at prediction time — only the training-side cut points are affected by leakage.</w:t>
      </w:r>
    </w:p>
    <w:p>
      <w:pPr>
        <w:pStyle w:val="Heading3"/>
      </w:pPr>
      <w:r>
        <w:rPr>
          <w:color w:val="1F497D"/>
        </w:rPr>
        <w:t>12.2.2 Unsupervised Binning Ignores the Target</w:t>
      </w:r>
    </w:p>
    <w:p>
      <w:r>
        <w:rPr>
          <w:b w:val="0"/>
          <w:i w:val="0"/>
          <w:sz w:val="22"/>
        </w:rPr>
        <w:t>Equal-frequency binning on a feature ensures balanced bin sizes but has no awareness of the production target. If the genuine agroclimatic threshold is at 20mm of flowering rainfall, but the tertile cut falls at 18mm and 38mm, the signal is split across two bins and weakened. Supervised discretization — finding cut points that maximise production-residual separation — should, in theory, place splits at more meaningful agronomic thresholds.</w:t>
      </w:r>
    </w:p>
    <w:p>
      <w:pPr>
        <w:pStyle w:val="Heading2"/>
      </w:pPr>
      <w:r>
        <w:rPr>
          <w:color w:val="1F497D"/>
        </w:rPr>
        <w:t>12.3 Supervised Discretization Variant (CarenR_Supervised)</w:t>
      </w:r>
    </w:p>
    <w:p>
      <w:r>
        <w:rPr>
          <w:b w:val="0"/>
          <w:i w:val="0"/>
          <w:sz w:val="22"/>
        </w:rPr>
        <w:t>A new pipeline variant was implemented to address both problems simultaneously:</w:t>
      </w:r>
    </w:p>
    <w:p>
      <w:pPr>
        <w:pStyle w:val="ListBullet"/>
      </w:pPr>
      <w:r>
        <w:rPr>
          <w:sz w:val="22"/>
        </w:rPr>
        <w:t>Per-fold execution: feature cut points are computed inside the scenario loop using only training observations (no data leakage).</w:t>
      </w:r>
    </w:p>
    <w:p>
      <w:pPr>
        <w:pStyle w:val="ListBullet"/>
      </w:pPr>
      <w:r>
        <w:rPr>
          <w:sz w:val="22"/>
        </w:rPr>
        <w:t>Supervised cut points: for each feature, greedy binary recursive splitting finds the thresholds that maximise the between-group sum-of-squares of training production residuals (find_supervised_cuts() function). Equivalent to fitting a 1D decision stump per feature and using that stump's split point as the bin boundary.</w:t>
      </w:r>
    </w:p>
    <w:p>
      <w:pPr>
        <w:pStyle w:val="ListBullet"/>
      </w:pPr>
      <w:r>
        <w:rPr>
          <w:sz w:val="22"/>
        </w:rPr>
        <w:t>Feature selection: top-15 features by Pearson |r| with training residuals (same as CarenR_Dist_Sup_FS).</w:t>
      </w:r>
    </w:p>
    <w:p>
      <w:pPr>
        <w:pStyle w:val="ListBullet"/>
      </w:pPr>
      <w:r>
        <w:rPr>
          <w:sz w:val="22"/>
        </w:rPr>
        <w:t>CAREN interval format: the supervised cuts are expressed in CAREN interval string format ([lower|upper)) so the existing parse_drs / predict_carenr_dist machinery works without modification.</w:t>
      </w:r>
    </w:p>
    <w:p>
      <w:r>
        <w:rPr>
          <w:b w:val="0"/>
          <w:i w:val="0"/>
          <w:sz w:val="22"/>
        </w:rPr>
        <w:t>The result was that rules were found in every scenario — 24 to 88 rules per fold — compared to 0 rules (fallback to median) for all other CarenR variants under linear detrending. However, the prediction quality deteriorated severely:</w:t>
      </w:r>
    </w:p>
    <w:p>
      <w:r>
        <w:rPr>
          <w:b w:val="0"/>
          <w:i w:val="0"/>
          <w:sz w:val="22"/>
        </w:rPr>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center"/>
            </w:pPr>
            <w:r>
              <w:rPr>
                <w:b/>
              </w:rPr>
              <w:t>Model</w:t>
            </w:r>
          </w:p>
        </w:tc>
        <w:tc>
          <w:tcPr>
            <w:tcW w:type="dxa" w:w="2256"/>
          </w:tcPr>
          <w:p>
            <w:pPr>
              <w:jc w:val="center"/>
            </w:pPr>
            <w:r>
              <w:rPr>
                <w:b/>
              </w:rPr>
              <w:t>Mean MAE (mhl)</w:t>
            </w:r>
          </w:p>
        </w:tc>
        <w:tc>
          <w:tcPr>
            <w:tcW w:type="dxa" w:w="2256"/>
          </w:tcPr>
          <w:p>
            <w:pPr>
              <w:jc w:val="center"/>
            </w:pPr>
            <w:r>
              <w:rPr>
                <w:b/>
              </w:rPr>
              <w:t>Weighted MAE (mhl)</w:t>
            </w:r>
          </w:p>
        </w:tc>
        <w:tc>
          <w:tcPr>
            <w:tcW w:type="dxa" w:w="2256"/>
          </w:tcPr>
          <w:p>
            <w:pPr>
              <w:jc w:val="center"/>
            </w:pPr>
            <w:r>
              <w:rPr>
                <w:b/>
              </w:rPr>
              <w:t>vs Naive_Median</w:t>
            </w:r>
          </w:p>
        </w:tc>
      </w:tr>
      <w:tr>
        <w:tc>
          <w:tcPr>
            <w:tcW w:type="dxa" w:w="2256"/>
          </w:tcPr>
          <w:p>
            <w:pPr>
              <w:jc w:val="center"/>
            </w:pPr>
            <w:r>
              <w:t>Naive_Median (baseline)</w:t>
            </w:r>
          </w:p>
        </w:tc>
        <w:tc>
          <w:tcPr>
            <w:tcW w:type="dxa" w:w="2256"/>
          </w:tcPr>
          <w:p>
            <w:pPr>
              <w:jc w:val="center"/>
            </w:pPr>
            <w:r>
              <w:t>162</w:t>
            </w:r>
          </w:p>
        </w:tc>
        <w:tc>
          <w:tcPr>
            <w:tcW w:type="dxa" w:w="2256"/>
          </w:tcPr>
          <w:p>
            <w:pPr>
              <w:jc w:val="center"/>
            </w:pPr>
            <w:r>
              <w:t>140</w:t>
            </w:r>
          </w:p>
        </w:tc>
        <w:tc>
          <w:tcPr>
            <w:tcW w:type="dxa" w:w="2256"/>
          </w:tcPr>
          <w:p>
            <w:pPr>
              <w:jc w:val="center"/>
            </w:pPr>
            <w:r>
              <w:t>—</w:t>
            </w:r>
          </w:p>
        </w:tc>
      </w:tr>
      <w:tr>
        <w:tc>
          <w:tcPr>
            <w:tcW w:type="dxa" w:w="2256"/>
          </w:tcPr>
          <w:p>
            <w:pPr>
              <w:jc w:val="center"/>
            </w:pPr>
            <w:r>
              <w:t>Naive (last value)</w:t>
            </w:r>
          </w:p>
        </w:tc>
        <w:tc>
          <w:tcPr>
            <w:tcW w:type="dxa" w:w="2256"/>
          </w:tcPr>
          <w:p>
            <w:pPr>
              <w:jc w:val="center"/>
            </w:pPr>
            <w:r>
              <w:t>132</w:t>
            </w:r>
          </w:p>
        </w:tc>
        <w:tc>
          <w:tcPr>
            <w:tcW w:type="dxa" w:w="2256"/>
          </w:tcPr>
          <w:p>
            <w:pPr>
              <w:jc w:val="center"/>
            </w:pPr>
            <w:r>
              <w:t>144</w:t>
            </w:r>
          </w:p>
        </w:tc>
        <w:tc>
          <w:tcPr>
            <w:tcW w:type="dxa" w:w="2256"/>
          </w:tcPr>
          <w:p>
            <w:pPr>
              <w:jc w:val="center"/>
            </w:pPr>
            <w:r>
              <w:t>+3%</w:t>
            </w:r>
          </w:p>
        </w:tc>
      </w:tr>
      <w:tr>
        <w:tc>
          <w:tcPr>
            <w:tcW w:type="dxa" w:w="2256"/>
          </w:tcPr>
          <w:p>
            <w:pPr>
              <w:jc w:val="center"/>
            </w:pPr>
            <w:r>
              <w:t>CarenR_Dist_Sup_FS (best CarenR)</w:t>
            </w:r>
          </w:p>
        </w:tc>
        <w:tc>
          <w:tcPr>
            <w:tcW w:type="dxa" w:w="2256"/>
          </w:tcPr>
          <w:p>
            <w:pPr>
              <w:jc w:val="center"/>
            </w:pPr>
            <w:r>
              <w:t>192</w:t>
            </w:r>
          </w:p>
        </w:tc>
        <w:tc>
          <w:tcPr>
            <w:tcW w:type="dxa" w:w="2256"/>
          </w:tcPr>
          <w:p>
            <w:pPr>
              <w:jc w:val="center"/>
            </w:pPr>
            <w:r>
              <w:t>172</w:t>
            </w:r>
          </w:p>
        </w:tc>
        <w:tc>
          <w:tcPr>
            <w:tcW w:type="dxa" w:w="2256"/>
          </w:tcPr>
          <w:p>
            <w:pPr>
              <w:jc w:val="center"/>
            </w:pPr>
            <w:r>
              <w:t>+22%</w:t>
            </w:r>
          </w:p>
        </w:tc>
      </w:tr>
      <w:tr>
        <w:tc>
          <w:tcPr>
            <w:tcW w:type="dxa" w:w="2256"/>
          </w:tcPr>
          <w:p>
            <w:pPr>
              <w:jc w:val="center"/>
            </w:pPr>
            <w:r>
              <w:t>CarenR_Supervised (this experiment)</w:t>
            </w:r>
          </w:p>
        </w:tc>
        <w:tc>
          <w:tcPr>
            <w:tcW w:type="dxa" w:w="2256"/>
          </w:tcPr>
          <w:p>
            <w:pPr>
              <w:jc w:val="center"/>
            </w:pPr>
            <w:r>
              <w:t>325</w:t>
            </w:r>
          </w:p>
        </w:tc>
        <w:tc>
          <w:tcPr>
            <w:tcW w:type="dxa" w:w="2256"/>
          </w:tcPr>
          <w:p>
            <w:pPr>
              <w:jc w:val="center"/>
            </w:pPr>
            <w:r>
              <w:t>347</w:t>
            </w:r>
          </w:p>
        </w:tc>
        <w:tc>
          <w:tcPr>
            <w:tcW w:type="dxa" w:w="2256"/>
          </w:tcPr>
          <w:p>
            <w:pPr>
              <w:jc w:val="center"/>
            </w:pPr>
            <w:r>
              <w:t>+147%</w:t>
            </w:r>
          </w:p>
        </w:tc>
      </w:tr>
    </w:tbl>
    <w:p>
      <w:r>
        <w:rPr>
          <w:b w:val="0"/>
          <w:i w:val="0"/>
          <w:sz w:val="22"/>
        </w:rPr>
      </w:r>
    </w:p>
    <w:p>
      <w:pPr>
        <w:pStyle w:val="Heading2"/>
      </w:pPr>
      <w:r>
        <w:rPr>
          <w:color w:val="1F497D"/>
        </w:rPr>
        <w:t>12.4 Interpretation: Overfitting the Feature Engineering</w:t>
      </w:r>
    </w:p>
    <w:p>
      <w:r>
        <w:rPr>
          <w:b w:val="0"/>
          <w:i w:val="0"/>
          <w:sz w:val="22"/>
        </w:rPr>
        <w:t>The dramatic deterioration under supervised discretization reveals a fundamental problem: with only 64-79 training observations and 15 selected features, finding the 'optimal' cut point per feature amounts to overfitting the feature engineering step itself.</w:t>
      </w:r>
    </w:p>
    <w:p>
      <w:pPr>
        <w:pStyle w:val="ListBullet"/>
      </w:pPr>
      <w:r>
        <w:rPr>
          <w:sz w:val="22"/>
        </w:rPr>
        <w:t>Supervised cuts are optimal for the training sample. Across the 16 walk-forward scenarios, the same feature's optimal threshold shifts substantially as new training years are added. Rules learned under one threshold set do not generalise when that threshold shifts in the next scenario.</w:t>
      </w:r>
    </w:p>
    <w:p>
      <w:pPr>
        <w:pStyle w:val="ListBullet"/>
      </w:pPr>
      <w:r>
        <w:rPr>
          <w:sz w:val="22"/>
        </w:rPr>
        <w:t>More rules is not better. With 24-88 rules per scenario (vs. 0 for equal-frequency binning), more test observations match rules — but the rules they match are overfitted to training-period accidents, not genuine agroclimatic patterns.</w:t>
      </w:r>
    </w:p>
    <w:p>
      <w:pPr>
        <w:pStyle w:val="ListBullet"/>
      </w:pPr>
      <w:r>
        <w:rPr>
          <w:sz w:val="22"/>
        </w:rPr>
        <w:t>The unsupervised equal-frequency bins, while not target-aware, were more conservative. Their cut points do not shift with the training residuals, so the few rules they produced (under linear detrending) were at least consistent across scenarios — even if still insufficient to beat naive baselines.</w:t>
      </w:r>
    </w:p>
    <w:p>
      <w:pPr>
        <w:pStyle w:val="Heading2"/>
      </w:pPr>
      <w:r>
        <w:rPr>
          <w:color w:val="1F497D"/>
        </w:rPr>
        <w:t>12.5 Complete Discretization Summary</w:t>
      </w:r>
    </w:p>
    <w:p>
      <w:r>
        <w:rPr>
          <w:b w:val="0"/>
          <w:i w:val="0"/>
          <w:sz w:val="22"/>
        </w:rPr>
        <w:t>The full experiment across detrending methods and discretization strategies consistently points to the same root cause:</w:t>
      </w:r>
    </w:p>
    <w:p>
      <w:r>
        <w:rPr>
          <w:b w:val="0"/>
          <w:i w:val="0"/>
          <w:sz w:val="22"/>
        </w:rPr>
      </w:r>
    </w:p>
    <w:tbl>
      <w:tblPr>
        <w:tblStyle w:val="TableGrid"/>
        <w:tblW w:type="auto" w:w="0"/>
        <w:tblLook w:firstColumn="1" w:firstRow="1" w:lastColumn="0" w:lastRow="0" w:noHBand="0" w:noVBand="1" w:val="04A0"/>
      </w:tblPr>
      <w:tblGrid>
        <w:gridCol w:w="3009"/>
        <w:gridCol w:w="3009"/>
        <w:gridCol w:w="3009"/>
      </w:tblGrid>
      <w:tr>
        <w:tc>
          <w:tcPr>
            <w:tcW w:type="dxa" w:w="3009"/>
          </w:tcPr>
          <w:p>
            <w:pPr>
              <w:jc w:val="center"/>
            </w:pPr>
            <w:r>
              <w:rPr>
                <w:b/>
              </w:rPr>
              <w:t>Setting</w:t>
            </w:r>
          </w:p>
        </w:tc>
        <w:tc>
          <w:tcPr>
            <w:tcW w:type="dxa" w:w="3009"/>
          </w:tcPr>
          <w:p>
            <w:pPr>
              <w:jc w:val="center"/>
            </w:pPr>
            <w:r>
              <w:rPr>
                <w:b/>
              </w:rPr>
              <w:t>Rules Found</w:t>
            </w:r>
          </w:p>
        </w:tc>
        <w:tc>
          <w:tcPr>
            <w:tcW w:type="dxa" w:w="3009"/>
          </w:tcPr>
          <w:p>
            <w:pPr>
              <w:jc w:val="center"/>
            </w:pPr>
            <w:r>
              <w:rPr>
                <w:b/>
              </w:rPr>
              <w:t>Prediction vs Naive_Median</w:t>
            </w:r>
          </w:p>
        </w:tc>
      </w:tr>
      <w:tr>
        <w:tc>
          <w:tcPr>
            <w:tcW w:type="dxa" w:w="3009"/>
          </w:tcPr>
          <w:p>
            <w:pPr>
              <w:jc w:val="center"/>
            </w:pPr>
            <w:r>
              <w:t>LOESS + equal-frequency (unsupervised)</w:t>
            </w:r>
          </w:p>
        </w:tc>
        <w:tc>
          <w:tcPr>
            <w:tcW w:type="dxa" w:w="3009"/>
          </w:tcPr>
          <w:p>
            <w:pPr>
              <w:jc w:val="center"/>
            </w:pPr>
            <w:r>
              <w:t>0 / scenario</w:t>
            </w:r>
          </w:p>
        </w:tc>
        <w:tc>
          <w:tcPr>
            <w:tcW w:type="dxa" w:w="3009"/>
          </w:tcPr>
          <w:p>
            <w:pPr>
              <w:jc w:val="center"/>
            </w:pPr>
            <w:r>
              <w:t>Equal (falls back to median)</w:t>
            </w:r>
          </w:p>
        </w:tc>
      </w:tr>
      <w:tr>
        <w:tc>
          <w:tcPr>
            <w:tcW w:type="dxa" w:w="3009"/>
          </w:tcPr>
          <w:p>
            <w:pPr>
              <w:jc w:val="center"/>
            </w:pPr>
            <w:r>
              <w:t>Linear + equal-frequency (unsupervised)</w:t>
            </w:r>
          </w:p>
        </w:tc>
        <w:tc>
          <w:tcPr>
            <w:tcW w:type="dxa" w:w="3009"/>
          </w:tcPr>
          <w:p>
            <w:pPr>
              <w:jc w:val="center"/>
            </w:pPr>
            <w:r>
              <w:t>Some (era-confounded)</w:t>
            </w:r>
          </w:p>
        </w:tc>
        <w:tc>
          <w:tcPr>
            <w:tcW w:type="dxa" w:w="3009"/>
          </w:tcPr>
          <w:p>
            <w:pPr>
              <w:jc w:val="center"/>
            </w:pPr>
            <w:r>
              <w:t>Worse (+22%)</w:t>
            </w:r>
          </w:p>
        </w:tc>
      </w:tr>
      <w:tr>
        <w:tc>
          <w:tcPr>
            <w:tcW w:type="dxa" w:w="3009"/>
          </w:tcPr>
          <w:p>
            <w:pPr>
              <w:jc w:val="center"/>
            </w:pPr>
            <w:r>
              <w:t>Linear + supervised cut points (per-fold)</w:t>
            </w:r>
          </w:p>
        </w:tc>
        <w:tc>
          <w:tcPr>
            <w:tcW w:type="dxa" w:w="3009"/>
          </w:tcPr>
          <w:p>
            <w:pPr>
              <w:jc w:val="center"/>
            </w:pPr>
            <w:r>
              <w:t>24-88 / scenario</w:t>
            </w:r>
          </w:p>
        </w:tc>
        <w:tc>
          <w:tcPr>
            <w:tcW w:type="dxa" w:w="3009"/>
          </w:tcPr>
          <w:p>
            <w:pPr>
              <w:jc w:val="center"/>
            </w:pPr>
            <w:r>
              <w:t>Much worse (+147%)</w:t>
            </w:r>
          </w:p>
        </w:tc>
      </w:tr>
    </w:tbl>
    <w:p>
      <w:r>
        <w:rPr>
          <w:b w:val="0"/>
          <w:i w:val="0"/>
          <w:sz w:val="22"/>
        </w:rPr>
      </w:r>
    </w:p>
    <w:p>
      <w:r>
        <w:rPr>
          <w:b w:val="0"/>
          <w:i w:val="0"/>
          <w:sz w:val="22"/>
        </w:rPr>
        <w:t>The limiting factor is not the discretization method — it is the fundamental signal-to-noise ratio of the problem. Wine production in the Douro Valley has a coefficient of variation of 47%, and the best climate features explain only ~22% of production variance (r ~ 0.47). Under these conditions:</w:t>
      </w:r>
    </w:p>
    <w:p>
      <w:pPr>
        <w:pStyle w:val="ListBullet"/>
      </w:pPr>
      <w:r>
        <w:rPr>
          <w:sz w:val="22"/>
        </w:rPr>
        <w:t>Unsupervised binning produces rules with insufficient signal to overcome noise.</w:t>
      </w:r>
    </w:p>
    <w:p>
      <w:pPr>
        <w:pStyle w:val="ListBullet"/>
      </w:pPr>
      <w:r>
        <w:rPr>
          <w:sz w:val="22"/>
        </w:rPr>
        <w:t>Supervised binning overfits the signal available in the training data and produces even noisier out-of-sample predictions.</w:t>
      </w:r>
    </w:p>
    <w:p>
      <w:pPr>
        <w:pStyle w:val="ListBullet"/>
      </w:pPr>
      <w:r>
        <w:rPr>
          <w:sz w:val="22"/>
        </w:rPr>
        <w:t>No discretization strategy tested was able to discover generalizable rules that beat the simplest possible baseline (training median) in held-out walk-forward evaluation.</w:t>
      </w:r>
    </w:p>
    <w:p>
      <w:pPr>
        <w:pStyle w:val="Heading2"/>
      </w:pPr>
      <w:r>
        <w:rPr>
          <w:color w:val="1F497D"/>
        </w:rPr>
        <w:t>12.6 Implications for the Thesis</w:t>
      </w:r>
    </w:p>
    <w:p>
      <w:r>
        <w:rPr>
          <w:b w:val="0"/>
          <w:i w:val="0"/>
          <w:sz w:val="22"/>
        </w:rPr>
        <w:t>This negative result is scientifically valuable. It confirms that the conclusion from Sections 9-11 is robust to methodological choices: the inability of rule-based models to predict Douro Valley wine production is not an artefact of any single implementation decision (detrending method, feature selection, bin count, bin strategy). It reflects a genuine property of the system — that year-to-year production variability is driven by factors too numerous and interacting for simple rule structures to capture reliably from 60-80 historical observations.</w:t>
      </w:r>
    </w:p>
    <w:p>
      <w:r>
        <w:rPr>
          <w:b w:val="0"/>
          <w:i w:val="0"/>
          <w:sz w:val="22"/>
        </w:rPr>
        <w:t>The finding that CarenR can discover interpretable meteorological rules (flowering-phase soil water, rainfall at key phenological windows) while failing at out-of-sample prediction is consistent with the broader literature on rule-based learning in high-noise domains: discovered rules describe historical tendencies, not predictive laws.</w:t>
      </w:r>
    </w:p>
    <w:p>
      <w:r>
        <w:br w:type="page"/>
      </w:r>
    </w:p>
    <w:p>
      <w:pPr>
        <w:pStyle w:val="Heading1"/>
      </w:pPr>
      <w:r>
        <w:rPr>
          <w:color w:val="1F497D"/>
        </w:rPr>
        <w:t>13. Cross-Region Model Comparison (RDD vs RVV)</w:t>
      </w:r>
    </w:p>
    <w:p>
      <w:r>
        <w:rPr>
          <w:b w:val="0"/>
          <w:i w:val="0"/>
          <w:sz w:val="22"/>
        </w:rPr>
        <w:t>After completing the full 17-model walk-forward validation for both regions (RDD — Douro, 18 scenarios, 89 years; RVV — Vinho Verde, 16 scenarios, 80 years), a direct model-by-model comparison reveals important differences in how each variant performs across the two wine regions.</w:t>
      </w:r>
    </w:p>
    <w:p>
      <w:pPr>
        <w:pStyle w:val="Heading2"/>
      </w:pPr>
      <w:r>
        <w:rPr>
          <w:color w:val="1F497D"/>
        </w:rPr>
        <w:t>13.1 Full Comparison Table</w:t>
      </w:r>
    </w:p>
    <w:p>
      <w:r>
        <w:rPr>
          <w:b w:val="0"/>
          <w:i w:val="0"/>
          <w:sz w:val="22"/>
        </w:rPr>
        <w:t>All 17 models ranked by weighted MAE for each region. Weighted MAE weights each scenario by its test-set size — the primary ranking metric. Rank 1 = best. Models sorted by RDD weighted MAE.</w:t>
      </w:r>
    </w:p>
    <w:p>
      <w:r>
        <w:rPr>
          <w:b w:val="0"/>
          <w:i w:val="0"/>
          <w:sz w:val="22"/>
        </w:rPr>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center"/>
            </w:pPr>
            <w:r>
              <w:rPr>
                <w:b/>
                <w:sz w:val="18"/>
              </w:rPr>
              <w:t>Model</w:t>
            </w:r>
          </w:p>
        </w:tc>
        <w:tc>
          <w:tcPr>
            <w:tcW w:type="dxa" w:w="1504"/>
          </w:tcPr>
          <w:p>
            <w:pPr>
              <w:jc w:val="center"/>
            </w:pPr>
            <w:r>
              <w:rPr>
                <w:b/>
                <w:sz w:val="18"/>
              </w:rPr>
              <w:t>RDD Wtd MAE</w:t>
            </w:r>
          </w:p>
        </w:tc>
        <w:tc>
          <w:tcPr>
            <w:tcW w:type="dxa" w:w="1504"/>
          </w:tcPr>
          <w:p>
            <w:pPr>
              <w:jc w:val="center"/>
            </w:pPr>
            <w:r>
              <w:rPr>
                <w:b/>
                <w:sz w:val="18"/>
              </w:rPr>
              <w:t>RDD Rank</w:t>
            </w:r>
          </w:p>
        </w:tc>
        <w:tc>
          <w:tcPr>
            <w:tcW w:type="dxa" w:w="1504"/>
          </w:tcPr>
          <w:p>
            <w:pPr>
              <w:jc w:val="center"/>
            </w:pPr>
            <w:r>
              <w:rPr>
                <w:b/>
                <w:sz w:val="18"/>
              </w:rPr>
              <w:t>RVV Wtd MAE</w:t>
            </w:r>
          </w:p>
        </w:tc>
        <w:tc>
          <w:tcPr>
            <w:tcW w:type="dxa" w:w="1504"/>
          </w:tcPr>
          <w:p>
            <w:pPr>
              <w:jc w:val="center"/>
            </w:pPr>
            <w:r>
              <w:rPr>
                <w:b/>
                <w:sz w:val="18"/>
              </w:rPr>
              <w:t>RVV Rank</w:t>
            </w:r>
          </w:p>
        </w:tc>
        <w:tc>
          <w:tcPr>
            <w:tcW w:type="dxa" w:w="1504"/>
          </w:tcPr>
          <w:p>
            <w:pPr>
              <w:jc w:val="center"/>
            </w:pPr>
            <w:r>
              <w:rPr>
                <w:b/>
                <w:sz w:val="18"/>
              </w:rPr>
              <w:t>Rank shift</w:t>
            </w:r>
          </w:p>
        </w:tc>
      </w:tr>
      <w:tr>
        <w:tc>
          <w:tcPr>
            <w:tcW w:type="dxa" w:w="1504"/>
          </w:tcPr>
          <w:p>
            <w:pPr>
              <w:jc w:val="left"/>
            </w:pPr>
            <w:r>
              <w:rPr>
                <w:color w:val="1F497D"/>
                <w:sz w:val="18"/>
              </w:rPr>
              <w:t>Naive_Median</w:t>
            </w:r>
          </w:p>
        </w:tc>
        <w:tc>
          <w:tcPr>
            <w:tcW w:type="dxa" w:w="1504"/>
          </w:tcPr>
          <w:p>
            <w:pPr>
              <w:jc w:val="center"/>
            </w:pPr>
            <w:r>
              <w:rPr>
                <w:color w:val="1F497D"/>
                <w:sz w:val="18"/>
              </w:rPr>
              <w:t>184.0</w:t>
            </w:r>
          </w:p>
        </w:tc>
        <w:tc>
          <w:tcPr>
            <w:tcW w:type="dxa" w:w="1504"/>
          </w:tcPr>
          <w:p>
            <w:pPr>
              <w:jc w:val="center"/>
            </w:pPr>
            <w:r>
              <w:rPr>
                <w:color w:val="1F497D"/>
                <w:sz w:val="18"/>
              </w:rPr>
              <w:t>1</w:t>
            </w:r>
          </w:p>
        </w:tc>
        <w:tc>
          <w:tcPr>
            <w:tcW w:type="dxa" w:w="1504"/>
          </w:tcPr>
          <w:p>
            <w:pPr>
              <w:jc w:val="center"/>
            </w:pPr>
            <w:r>
              <w:rPr>
                <w:color w:val="1F497D"/>
                <w:sz w:val="18"/>
              </w:rPr>
              <w:t>140.4</w:t>
            </w:r>
          </w:p>
        </w:tc>
        <w:tc>
          <w:tcPr>
            <w:tcW w:type="dxa" w:w="1504"/>
          </w:tcPr>
          <w:p>
            <w:pPr>
              <w:jc w:val="center"/>
            </w:pPr>
            <w:r>
              <w:rPr>
                <w:color w:val="1F497D"/>
                <w:sz w:val="18"/>
              </w:rPr>
              <w:t>1</w:t>
            </w:r>
          </w:p>
        </w:tc>
        <w:tc>
          <w:tcPr>
            <w:tcW w:type="dxa" w:w="1504"/>
          </w:tcPr>
          <w:p>
            <w:pPr>
              <w:jc w:val="center"/>
            </w:pPr>
            <w:r>
              <w:rPr>
                <w:color w:val="1F497D"/>
                <w:sz w:val="18"/>
              </w:rPr>
              <w:t>+0</w:t>
            </w:r>
          </w:p>
        </w:tc>
      </w:tr>
      <w:tr>
        <w:tc>
          <w:tcPr>
            <w:tcW w:type="dxa" w:w="1504"/>
          </w:tcPr>
          <w:p>
            <w:pPr>
              <w:jc w:val="left"/>
            </w:pPr>
            <w:r>
              <w:rPr>
                <w:color w:val="1F7A3C"/>
                <w:sz w:val="18"/>
              </w:rPr>
              <w:t>CarenR_Dist_Eta2</w:t>
            </w:r>
          </w:p>
        </w:tc>
        <w:tc>
          <w:tcPr>
            <w:tcW w:type="dxa" w:w="1504"/>
          </w:tcPr>
          <w:p>
            <w:pPr>
              <w:jc w:val="center"/>
            </w:pPr>
            <w:r>
              <w:rPr>
                <w:color w:val="1F7A3C"/>
                <w:sz w:val="18"/>
              </w:rPr>
              <w:t>189.2</w:t>
            </w:r>
          </w:p>
        </w:tc>
        <w:tc>
          <w:tcPr>
            <w:tcW w:type="dxa" w:w="1504"/>
          </w:tcPr>
          <w:p>
            <w:pPr>
              <w:jc w:val="center"/>
            </w:pPr>
            <w:r>
              <w:rPr>
                <w:color w:val="1F7A3C"/>
                <w:sz w:val="18"/>
              </w:rPr>
              <w:t>2</w:t>
            </w:r>
          </w:p>
        </w:tc>
        <w:tc>
          <w:tcPr>
            <w:tcW w:type="dxa" w:w="1504"/>
          </w:tcPr>
          <w:p>
            <w:pPr>
              <w:jc w:val="center"/>
            </w:pPr>
            <w:r>
              <w:rPr>
                <w:color w:val="1F7A3C"/>
                <w:sz w:val="18"/>
              </w:rPr>
              <w:t>225.7</w:t>
            </w:r>
          </w:p>
        </w:tc>
        <w:tc>
          <w:tcPr>
            <w:tcW w:type="dxa" w:w="1504"/>
          </w:tcPr>
          <w:p>
            <w:pPr>
              <w:jc w:val="center"/>
            </w:pPr>
            <w:r>
              <w:rPr>
                <w:color w:val="1F7A3C"/>
                <w:sz w:val="18"/>
              </w:rPr>
              <w:t>12</w:t>
            </w:r>
          </w:p>
        </w:tc>
        <w:tc>
          <w:tcPr>
            <w:tcW w:type="dxa" w:w="1504"/>
          </w:tcPr>
          <w:p>
            <w:pPr>
              <w:jc w:val="center"/>
            </w:pPr>
            <w:r>
              <w:rPr>
                <w:color w:val="1F7A3C"/>
                <w:sz w:val="18"/>
              </w:rPr>
              <w:t>-10</w:t>
            </w:r>
          </w:p>
        </w:tc>
      </w:tr>
      <w:tr>
        <w:tc>
          <w:tcPr>
            <w:tcW w:type="dxa" w:w="1504"/>
          </w:tcPr>
          <w:p>
            <w:pPr>
              <w:jc w:val="left"/>
            </w:pPr>
            <w:r>
              <w:rPr>
                <w:color w:val="1F7A3C"/>
                <w:sz w:val="18"/>
              </w:rPr>
              <w:t>CarenR_Dist_FS</w:t>
            </w:r>
          </w:p>
        </w:tc>
        <w:tc>
          <w:tcPr>
            <w:tcW w:type="dxa" w:w="1504"/>
          </w:tcPr>
          <w:p>
            <w:pPr>
              <w:jc w:val="center"/>
            </w:pPr>
            <w:r>
              <w:rPr>
                <w:color w:val="1F7A3C"/>
                <w:sz w:val="18"/>
              </w:rPr>
              <w:t>193.5</w:t>
            </w:r>
          </w:p>
        </w:tc>
        <w:tc>
          <w:tcPr>
            <w:tcW w:type="dxa" w:w="1504"/>
          </w:tcPr>
          <w:p>
            <w:pPr>
              <w:jc w:val="center"/>
            </w:pPr>
            <w:r>
              <w:rPr>
                <w:color w:val="1F7A3C"/>
                <w:sz w:val="18"/>
              </w:rPr>
              <w:t>3</w:t>
            </w:r>
          </w:p>
        </w:tc>
        <w:tc>
          <w:tcPr>
            <w:tcW w:type="dxa" w:w="1504"/>
          </w:tcPr>
          <w:p>
            <w:pPr>
              <w:jc w:val="center"/>
            </w:pPr>
            <w:r>
              <w:rPr>
                <w:color w:val="1F7A3C"/>
                <w:sz w:val="18"/>
              </w:rPr>
              <w:t>222.4</w:t>
            </w:r>
          </w:p>
        </w:tc>
        <w:tc>
          <w:tcPr>
            <w:tcW w:type="dxa" w:w="1504"/>
          </w:tcPr>
          <w:p>
            <w:pPr>
              <w:jc w:val="center"/>
            </w:pPr>
            <w:r>
              <w:rPr>
                <w:color w:val="1F7A3C"/>
                <w:sz w:val="18"/>
              </w:rPr>
              <w:t>10</w:t>
            </w:r>
          </w:p>
        </w:tc>
        <w:tc>
          <w:tcPr>
            <w:tcW w:type="dxa" w:w="1504"/>
          </w:tcPr>
          <w:p>
            <w:pPr>
              <w:jc w:val="center"/>
            </w:pPr>
            <w:r>
              <w:rPr>
                <w:color w:val="1F7A3C"/>
                <w:sz w:val="18"/>
              </w:rPr>
              <w:t>-7</w:t>
            </w:r>
          </w:p>
        </w:tc>
      </w:tr>
      <w:tr>
        <w:tc>
          <w:tcPr>
            <w:tcW w:type="dxa" w:w="1504"/>
          </w:tcPr>
          <w:p>
            <w:pPr>
              <w:jc w:val="left"/>
            </w:pPr>
            <w:r>
              <w:rPr>
                <w:color w:val="1F497D"/>
                <w:sz w:val="18"/>
              </w:rPr>
              <w:t>Naive_MA</w:t>
            </w:r>
          </w:p>
        </w:tc>
        <w:tc>
          <w:tcPr>
            <w:tcW w:type="dxa" w:w="1504"/>
          </w:tcPr>
          <w:p>
            <w:pPr>
              <w:jc w:val="center"/>
            </w:pPr>
            <w:r>
              <w:rPr>
                <w:color w:val="1F497D"/>
                <w:sz w:val="18"/>
              </w:rPr>
              <w:t>194.6</w:t>
            </w:r>
          </w:p>
        </w:tc>
        <w:tc>
          <w:tcPr>
            <w:tcW w:type="dxa" w:w="1504"/>
          </w:tcPr>
          <w:p>
            <w:pPr>
              <w:jc w:val="center"/>
            </w:pPr>
            <w:r>
              <w:rPr>
                <w:color w:val="1F497D"/>
                <w:sz w:val="18"/>
              </w:rPr>
              <w:t>4</w:t>
            </w:r>
          </w:p>
        </w:tc>
        <w:tc>
          <w:tcPr>
            <w:tcW w:type="dxa" w:w="1504"/>
          </w:tcPr>
          <w:p>
            <w:pPr>
              <w:jc w:val="center"/>
            </w:pPr>
            <w:r>
              <w:rPr>
                <w:color w:val="1F497D"/>
                <w:sz w:val="18"/>
              </w:rPr>
              <w:t>170.5</w:t>
            </w:r>
          </w:p>
        </w:tc>
        <w:tc>
          <w:tcPr>
            <w:tcW w:type="dxa" w:w="1504"/>
          </w:tcPr>
          <w:p>
            <w:pPr>
              <w:jc w:val="center"/>
            </w:pPr>
            <w:r>
              <w:rPr>
                <w:color w:val="1F497D"/>
                <w:sz w:val="18"/>
              </w:rPr>
              <w:t>3</w:t>
            </w:r>
          </w:p>
        </w:tc>
        <w:tc>
          <w:tcPr>
            <w:tcW w:type="dxa" w:w="1504"/>
          </w:tcPr>
          <w:p>
            <w:pPr>
              <w:jc w:val="center"/>
            </w:pPr>
            <w:r>
              <w:rPr>
                <w:color w:val="1F497D"/>
                <w:sz w:val="18"/>
              </w:rPr>
              <w:t>+1</w:t>
            </w:r>
          </w:p>
        </w:tc>
      </w:tr>
      <w:tr>
        <w:tc>
          <w:tcPr>
            <w:tcW w:type="dxa" w:w="1504"/>
          </w:tcPr>
          <w:p>
            <w:pPr>
              <w:jc w:val="left"/>
            </w:pPr>
            <w:r>
              <w:rPr>
                <w:color w:val="1F7A3C"/>
                <w:sz w:val="18"/>
              </w:rPr>
              <w:t>CarenR_Dist_Sup_FS</w:t>
            </w:r>
          </w:p>
        </w:tc>
        <w:tc>
          <w:tcPr>
            <w:tcW w:type="dxa" w:w="1504"/>
          </w:tcPr>
          <w:p>
            <w:pPr>
              <w:jc w:val="center"/>
            </w:pPr>
            <w:r>
              <w:rPr>
                <w:color w:val="1F7A3C"/>
                <w:sz w:val="18"/>
              </w:rPr>
              <w:t>196.9</w:t>
            </w:r>
          </w:p>
        </w:tc>
        <w:tc>
          <w:tcPr>
            <w:tcW w:type="dxa" w:w="1504"/>
          </w:tcPr>
          <w:p>
            <w:pPr>
              <w:jc w:val="center"/>
            </w:pPr>
            <w:r>
              <w:rPr>
                <w:color w:val="1F7A3C"/>
                <w:sz w:val="18"/>
              </w:rPr>
              <w:t>5</w:t>
            </w:r>
          </w:p>
        </w:tc>
        <w:tc>
          <w:tcPr>
            <w:tcW w:type="dxa" w:w="1504"/>
          </w:tcPr>
          <w:p>
            <w:pPr>
              <w:jc w:val="center"/>
            </w:pPr>
            <w:r>
              <w:rPr>
                <w:color w:val="1F7A3C"/>
                <w:sz w:val="18"/>
              </w:rPr>
              <w:t>171.6</w:t>
            </w:r>
          </w:p>
        </w:tc>
        <w:tc>
          <w:tcPr>
            <w:tcW w:type="dxa" w:w="1504"/>
          </w:tcPr>
          <w:p>
            <w:pPr>
              <w:jc w:val="center"/>
            </w:pPr>
            <w:r>
              <w:rPr>
                <w:color w:val="1F7A3C"/>
                <w:sz w:val="18"/>
              </w:rPr>
              <w:t>4</w:t>
            </w:r>
          </w:p>
        </w:tc>
        <w:tc>
          <w:tcPr>
            <w:tcW w:type="dxa" w:w="1504"/>
          </w:tcPr>
          <w:p>
            <w:pPr>
              <w:jc w:val="center"/>
            </w:pPr>
            <w:r>
              <w:rPr>
                <w:color w:val="1F7A3C"/>
                <w:sz w:val="18"/>
              </w:rPr>
              <w:t>+1</w:t>
            </w:r>
          </w:p>
        </w:tc>
      </w:tr>
      <w:tr>
        <w:tc>
          <w:tcPr>
            <w:tcW w:type="dxa" w:w="1504"/>
          </w:tcPr>
          <w:p>
            <w:pPr>
              <w:jc w:val="left"/>
            </w:pPr>
            <w:r>
              <w:rPr>
                <w:color w:val="1F7A3C"/>
                <w:sz w:val="18"/>
              </w:rPr>
              <w:t>CarenR_Dist_Sup</w:t>
            </w:r>
          </w:p>
        </w:tc>
        <w:tc>
          <w:tcPr>
            <w:tcW w:type="dxa" w:w="1504"/>
          </w:tcPr>
          <w:p>
            <w:pPr>
              <w:jc w:val="center"/>
            </w:pPr>
            <w:r>
              <w:rPr>
                <w:color w:val="1F7A3C"/>
                <w:sz w:val="18"/>
              </w:rPr>
              <w:t>197.0</w:t>
            </w:r>
          </w:p>
        </w:tc>
        <w:tc>
          <w:tcPr>
            <w:tcW w:type="dxa" w:w="1504"/>
          </w:tcPr>
          <w:p>
            <w:pPr>
              <w:jc w:val="center"/>
            </w:pPr>
            <w:r>
              <w:rPr>
                <w:color w:val="1F7A3C"/>
                <w:sz w:val="18"/>
              </w:rPr>
              <w:t>6</w:t>
            </w:r>
          </w:p>
        </w:tc>
        <w:tc>
          <w:tcPr>
            <w:tcW w:type="dxa" w:w="1504"/>
          </w:tcPr>
          <w:p>
            <w:pPr>
              <w:jc w:val="center"/>
            </w:pPr>
            <w:r>
              <w:rPr>
                <w:color w:val="1F7A3C"/>
                <w:sz w:val="18"/>
              </w:rPr>
              <w:t>185.2</w:t>
            </w:r>
          </w:p>
        </w:tc>
        <w:tc>
          <w:tcPr>
            <w:tcW w:type="dxa" w:w="1504"/>
          </w:tcPr>
          <w:p>
            <w:pPr>
              <w:jc w:val="center"/>
            </w:pPr>
            <w:r>
              <w:rPr>
                <w:color w:val="1F7A3C"/>
                <w:sz w:val="18"/>
              </w:rPr>
              <w:t>7</w:t>
            </w:r>
          </w:p>
        </w:tc>
        <w:tc>
          <w:tcPr>
            <w:tcW w:type="dxa" w:w="1504"/>
          </w:tcPr>
          <w:p>
            <w:pPr>
              <w:jc w:val="center"/>
            </w:pPr>
            <w:r>
              <w:rPr>
                <w:color w:val="1F7A3C"/>
                <w:sz w:val="18"/>
              </w:rPr>
              <w:t>-1</w:t>
            </w:r>
          </w:p>
        </w:tc>
      </w:tr>
      <w:tr>
        <w:tc>
          <w:tcPr>
            <w:tcW w:type="dxa" w:w="1504"/>
          </w:tcPr>
          <w:p>
            <w:pPr>
              <w:jc w:val="left"/>
            </w:pPr>
            <w:r>
              <w:rPr>
                <w:color w:val="1F497D"/>
                <w:sz w:val="18"/>
              </w:rPr>
              <w:t>Naive</w:t>
            </w:r>
          </w:p>
        </w:tc>
        <w:tc>
          <w:tcPr>
            <w:tcW w:type="dxa" w:w="1504"/>
          </w:tcPr>
          <w:p>
            <w:pPr>
              <w:jc w:val="center"/>
            </w:pPr>
            <w:r>
              <w:rPr>
                <w:color w:val="1F497D"/>
                <w:sz w:val="18"/>
              </w:rPr>
              <w:t>199.4</w:t>
            </w:r>
          </w:p>
        </w:tc>
        <w:tc>
          <w:tcPr>
            <w:tcW w:type="dxa" w:w="1504"/>
          </w:tcPr>
          <w:p>
            <w:pPr>
              <w:jc w:val="center"/>
            </w:pPr>
            <w:r>
              <w:rPr>
                <w:color w:val="1F497D"/>
                <w:sz w:val="18"/>
              </w:rPr>
              <w:t>7</w:t>
            </w:r>
          </w:p>
        </w:tc>
        <w:tc>
          <w:tcPr>
            <w:tcW w:type="dxa" w:w="1504"/>
          </w:tcPr>
          <w:p>
            <w:pPr>
              <w:jc w:val="center"/>
            </w:pPr>
            <w:r>
              <w:rPr>
                <w:color w:val="1F497D"/>
                <w:sz w:val="18"/>
              </w:rPr>
              <w:t>143.8</w:t>
            </w:r>
          </w:p>
        </w:tc>
        <w:tc>
          <w:tcPr>
            <w:tcW w:type="dxa" w:w="1504"/>
          </w:tcPr>
          <w:p>
            <w:pPr>
              <w:jc w:val="center"/>
            </w:pPr>
            <w:r>
              <w:rPr>
                <w:color w:val="1F497D"/>
                <w:sz w:val="18"/>
              </w:rPr>
              <w:t>2</w:t>
            </w:r>
          </w:p>
        </w:tc>
        <w:tc>
          <w:tcPr>
            <w:tcW w:type="dxa" w:w="1504"/>
          </w:tcPr>
          <w:p>
            <w:pPr>
              <w:jc w:val="center"/>
            </w:pPr>
            <w:r>
              <w:rPr>
                <w:color w:val="1F497D"/>
                <w:sz w:val="18"/>
              </w:rPr>
              <w:t>+5</w:t>
            </w:r>
          </w:p>
        </w:tc>
      </w:tr>
      <w:tr>
        <w:tc>
          <w:tcPr>
            <w:tcW w:type="dxa" w:w="1504"/>
          </w:tcPr>
          <w:p>
            <w:pPr>
              <w:jc w:val="left"/>
            </w:pPr>
            <w:r>
              <w:rPr>
                <w:color w:val="606060"/>
                <w:sz w:val="18"/>
              </w:rPr>
              <w:t>M5Rules</w:t>
            </w:r>
          </w:p>
        </w:tc>
        <w:tc>
          <w:tcPr>
            <w:tcW w:type="dxa" w:w="1504"/>
          </w:tcPr>
          <w:p>
            <w:pPr>
              <w:jc w:val="center"/>
            </w:pPr>
            <w:r>
              <w:rPr>
                <w:color w:val="606060"/>
                <w:sz w:val="18"/>
              </w:rPr>
              <w:t>200.0</w:t>
            </w:r>
          </w:p>
        </w:tc>
        <w:tc>
          <w:tcPr>
            <w:tcW w:type="dxa" w:w="1504"/>
          </w:tcPr>
          <w:p>
            <w:pPr>
              <w:jc w:val="center"/>
            </w:pPr>
            <w:r>
              <w:rPr>
                <w:color w:val="606060"/>
                <w:sz w:val="18"/>
              </w:rPr>
              <w:t>8</w:t>
            </w:r>
          </w:p>
        </w:tc>
        <w:tc>
          <w:tcPr>
            <w:tcW w:type="dxa" w:w="1504"/>
          </w:tcPr>
          <w:p>
            <w:pPr>
              <w:jc w:val="center"/>
            </w:pPr>
            <w:r>
              <w:rPr>
                <w:color w:val="606060"/>
                <w:sz w:val="18"/>
              </w:rPr>
              <w:t>267.5</w:t>
            </w:r>
          </w:p>
        </w:tc>
        <w:tc>
          <w:tcPr>
            <w:tcW w:type="dxa" w:w="1504"/>
          </w:tcPr>
          <w:p>
            <w:pPr>
              <w:jc w:val="center"/>
            </w:pPr>
            <w:r>
              <w:rPr>
                <w:color w:val="606060"/>
                <w:sz w:val="18"/>
              </w:rPr>
              <w:t>13</w:t>
            </w:r>
          </w:p>
        </w:tc>
        <w:tc>
          <w:tcPr>
            <w:tcW w:type="dxa" w:w="1504"/>
          </w:tcPr>
          <w:p>
            <w:pPr>
              <w:jc w:val="center"/>
            </w:pPr>
            <w:r>
              <w:rPr>
                <w:color w:val="606060"/>
                <w:sz w:val="18"/>
              </w:rPr>
              <w:t>-5</w:t>
            </w:r>
          </w:p>
        </w:tc>
      </w:tr>
      <w:tr>
        <w:tc>
          <w:tcPr>
            <w:tcW w:type="dxa" w:w="1504"/>
          </w:tcPr>
          <w:p>
            <w:pPr>
              <w:jc w:val="left"/>
            </w:pPr>
            <w:r>
              <w:rPr>
                <w:color w:val="1F7A3C"/>
                <w:sz w:val="18"/>
              </w:rPr>
              <w:t>CarenR_Dist_Lag</w:t>
            </w:r>
          </w:p>
        </w:tc>
        <w:tc>
          <w:tcPr>
            <w:tcW w:type="dxa" w:w="1504"/>
          </w:tcPr>
          <w:p>
            <w:pPr>
              <w:jc w:val="center"/>
            </w:pPr>
            <w:r>
              <w:rPr>
                <w:color w:val="1F7A3C"/>
                <w:sz w:val="18"/>
              </w:rPr>
              <w:t>200.9</w:t>
            </w:r>
          </w:p>
        </w:tc>
        <w:tc>
          <w:tcPr>
            <w:tcW w:type="dxa" w:w="1504"/>
          </w:tcPr>
          <w:p>
            <w:pPr>
              <w:jc w:val="center"/>
            </w:pPr>
            <w:r>
              <w:rPr>
                <w:color w:val="1F7A3C"/>
                <w:sz w:val="18"/>
              </w:rPr>
              <w:t>9</w:t>
            </w:r>
          </w:p>
        </w:tc>
        <w:tc>
          <w:tcPr>
            <w:tcW w:type="dxa" w:w="1504"/>
          </w:tcPr>
          <w:p>
            <w:pPr>
              <w:jc w:val="center"/>
            </w:pPr>
            <w:r>
              <w:rPr>
                <w:color w:val="1F7A3C"/>
                <w:sz w:val="18"/>
              </w:rPr>
              <w:t>225.0</w:t>
            </w:r>
          </w:p>
        </w:tc>
        <w:tc>
          <w:tcPr>
            <w:tcW w:type="dxa" w:w="1504"/>
          </w:tcPr>
          <w:p>
            <w:pPr>
              <w:jc w:val="center"/>
            </w:pPr>
            <w:r>
              <w:rPr>
                <w:color w:val="1F7A3C"/>
                <w:sz w:val="18"/>
              </w:rPr>
              <w:t>11</w:t>
            </w:r>
          </w:p>
        </w:tc>
        <w:tc>
          <w:tcPr>
            <w:tcW w:type="dxa" w:w="1504"/>
          </w:tcPr>
          <w:p>
            <w:pPr>
              <w:jc w:val="center"/>
            </w:pPr>
            <w:r>
              <w:rPr>
                <w:color w:val="1F7A3C"/>
                <w:sz w:val="18"/>
              </w:rPr>
              <w:t>-2</w:t>
            </w:r>
          </w:p>
        </w:tc>
      </w:tr>
      <w:tr>
        <w:tc>
          <w:tcPr>
            <w:tcW w:type="dxa" w:w="1504"/>
          </w:tcPr>
          <w:p>
            <w:pPr>
              <w:jc w:val="left"/>
            </w:pPr>
            <w:r>
              <w:rPr>
                <w:color w:val="1F7A3C"/>
                <w:sz w:val="18"/>
              </w:rPr>
              <w:t>CarenR_Dist_Conf</w:t>
            </w:r>
          </w:p>
        </w:tc>
        <w:tc>
          <w:tcPr>
            <w:tcW w:type="dxa" w:w="1504"/>
          </w:tcPr>
          <w:p>
            <w:pPr>
              <w:jc w:val="center"/>
            </w:pPr>
            <w:r>
              <w:rPr>
                <w:color w:val="1F7A3C"/>
                <w:sz w:val="18"/>
              </w:rPr>
              <w:t>203.1</w:t>
            </w:r>
          </w:p>
        </w:tc>
        <w:tc>
          <w:tcPr>
            <w:tcW w:type="dxa" w:w="1504"/>
          </w:tcPr>
          <w:p>
            <w:pPr>
              <w:jc w:val="center"/>
            </w:pPr>
            <w:r>
              <w:rPr>
                <w:color w:val="1F7A3C"/>
                <w:sz w:val="18"/>
              </w:rPr>
              <w:t>10</w:t>
            </w:r>
          </w:p>
        </w:tc>
        <w:tc>
          <w:tcPr>
            <w:tcW w:type="dxa" w:w="1504"/>
          </w:tcPr>
          <w:p>
            <w:pPr>
              <w:jc w:val="center"/>
            </w:pPr>
            <w:r>
              <w:rPr>
                <w:color w:val="1F7A3C"/>
                <w:sz w:val="18"/>
              </w:rPr>
              <w:t>171.6</w:t>
            </w:r>
          </w:p>
        </w:tc>
        <w:tc>
          <w:tcPr>
            <w:tcW w:type="dxa" w:w="1504"/>
          </w:tcPr>
          <w:p>
            <w:pPr>
              <w:jc w:val="center"/>
            </w:pPr>
            <w:r>
              <w:rPr>
                <w:color w:val="1F7A3C"/>
                <w:sz w:val="18"/>
              </w:rPr>
              <w:t>6</w:t>
            </w:r>
          </w:p>
        </w:tc>
        <w:tc>
          <w:tcPr>
            <w:tcW w:type="dxa" w:w="1504"/>
          </w:tcPr>
          <w:p>
            <w:pPr>
              <w:jc w:val="center"/>
            </w:pPr>
            <w:r>
              <w:rPr>
                <w:color w:val="1F7A3C"/>
                <w:sz w:val="18"/>
              </w:rPr>
              <w:t>+4</w:t>
            </w:r>
          </w:p>
        </w:tc>
      </w:tr>
      <w:tr>
        <w:tc>
          <w:tcPr>
            <w:tcW w:type="dxa" w:w="1504"/>
          </w:tcPr>
          <w:p>
            <w:pPr>
              <w:jc w:val="left"/>
            </w:pPr>
            <w:r>
              <w:rPr>
                <w:color w:val="1F7A3C"/>
                <w:sz w:val="18"/>
              </w:rPr>
              <w:t>CarenR_Dist_Sup_Thresh</w:t>
            </w:r>
          </w:p>
        </w:tc>
        <w:tc>
          <w:tcPr>
            <w:tcW w:type="dxa" w:w="1504"/>
          </w:tcPr>
          <w:p>
            <w:pPr>
              <w:jc w:val="center"/>
            </w:pPr>
            <w:r>
              <w:rPr>
                <w:color w:val="1F7A3C"/>
                <w:sz w:val="18"/>
              </w:rPr>
              <w:t>203.1</w:t>
            </w:r>
          </w:p>
        </w:tc>
        <w:tc>
          <w:tcPr>
            <w:tcW w:type="dxa" w:w="1504"/>
          </w:tcPr>
          <w:p>
            <w:pPr>
              <w:jc w:val="center"/>
            </w:pPr>
            <w:r>
              <w:rPr>
                <w:color w:val="1F7A3C"/>
                <w:sz w:val="18"/>
              </w:rPr>
              <w:t>11</w:t>
            </w:r>
          </w:p>
        </w:tc>
        <w:tc>
          <w:tcPr>
            <w:tcW w:type="dxa" w:w="1504"/>
          </w:tcPr>
          <w:p>
            <w:pPr>
              <w:jc w:val="center"/>
            </w:pPr>
            <w:r>
              <w:rPr>
                <w:color w:val="1F7A3C"/>
                <w:sz w:val="18"/>
              </w:rPr>
              <w:t>171.6</w:t>
            </w:r>
          </w:p>
        </w:tc>
        <w:tc>
          <w:tcPr>
            <w:tcW w:type="dxa" w:w="1504"/>
          </w:tcPr>
          <w:p>
            <w:pPr>
              <w:jc w:val="center"/>
            </w:pPr>
            <w:r>
              <w:rPr>
                <w:color w:val="1F7A3C"/>
                <w:sz w:val="18"/>
              </w:rPr>
              <w:t>5</w:t>
            </w:r>
          </w:p>
        </w:tc>
        <w:tc>
          <w:tcPr>
            <w:tcW w:type="dxa" w:w="1504"/>
          </w:tcPr>
          <w:p>
            <w:pPr>
              <w:jc w:val="center"/>
            </w:pPr>
            <w:r>
              <w:rPr>
                <w:color w:val="1F7A3C"/>
                <w:sz w:val="18"/>
              </w:rPr>
              <w:t>+6</w:t>
            </w:r>
          </w:p>
        </w:tc>
      </w:tr>
      <w:tr>
        <w:tc>
          <w:tcPr>
            <w:tcW w:type="dxa" w:w="1504"/>
          </w:tcPr>
          <w:p>
            <w:pPr>
              <w:jc w:val="left"/>
            </w:pPr>
            <w:r>
              <w:rPr>
                <w:color w:val="1F7A3C"/>
                <w:sz w:val="18"/>
              </w:rPr>
              <w:t>CarenR_Dist_Thresh</w:t>
            </w:r>
          </w:p>
        </w:tc>
        <w:tc>
          <w:tcPr>
            <w:tcW w:type="dxa" w:w="1504"/>
          </w:tcPr>
          <w:p>
            <w:pPr>
              <w:jc w:val="center"/>
            </w:pPr>
            <w:r>
              <w:rPr>
                <w:color w:val="1F7A3C"/>
                <w:sz w:val="18"/>
              </w:rPr>
              <w:t>203.1</w:t>
            </w:r>
          </w:p>
        </w:tc>
        <w:tc>
          <w:tcPr>
            <w:tcW w:type="dxa" w:w="1504"/>
          </w:tcPr>
          <w:p>
            <w:pPr>
              <w:jc w:val="center"/>
            </w:pPr>
            <w:r>
              <w:rPr>
                <w:color w:val="1F7A3C"/>
                <w:sz w:val="18"/>
              </w:rPr>
              <w:t>12</w:t>
            </w:r>
          </w:p>
        </w:tc>
        <w:tc>
          <w:tcPr>
            <w:tcW w:type="dxa" w:w="1504"/>
          </w:tcPr>
          <w:p>
            <w:pPr>
              <w:jc w:val="center"/>
            </w:pPr>
            <w:r>
              <w:rPr>
                <w:color w:val="1F7A3C"/>
                <w:sz w:val="18"/>
              </w:rPr>
              <w:t>209.4</w:t>
            </w:r>
          </w:p>
        </w:tc>
        <w:tc>
          <w:tcPr>
            <w:tcW w:type="dxa" w:w="1504"/>
          </w:tcPr>
          <w:p>
            <w:pPr>
              <w:jc w:val="center"/>
            </w:pPr>
            <w:r>
              <w:rPr>
                <w:color w:val="1F7A3C"/>
                <w:sz w:val="18"/>
              </w:rPr>
              <w:t>9</w:t>
            </w:r>
          </w:p>
        </w:tc>
        <w:tc>
          <w:tcPr>
            <w:tcW w:type="dxa" w:w="1504"/>
          </w:tcPr>
          <w:p>
            <w:pPr>
              <w:jc w:val="center"/>
            </w:pPr>
            <w:r>
              <w:rPr>
                <w:color w:val="1F7A3C"/>
                <w:sz w:val="18"/>
              </w:rPr>
              <w:t>+3</w:t>
            </w:r>
          </w:p>
        </w:tc>
      </w:tr>
      <w:tr>
        <w:tc>
          <w:tcPr>
            <w:tcW w:type="dxa" w:w="1504"/>
          </w:tcPr>
          <w:p>
            <w:pPr>
              <w:jc w:val="left"/>
            </w:pPr>
            <w:r>
              <w:rPr>
                <w:color w:val="1F7A3C"/>
                <w:sz w:val="18"/>
              </w:rPr>
              <w:t>CarenR_Dist</w:t>
            </w:r>
          </w:p>
        </w:tc>
        <w:tc>
          <w:tcPr>
            <w:tcW w:type="dxa" w:w="1504"/>
          </w:tcPr>
          <w:p>
            <w:pPr>
              <w:jc w:val="center"/>
            </w:pPr>
            <w:r>
              <w:rPr>
                <w:color w:val="1F7A3C"/>
                <w:sz w:val="18"/>
              </w:rPr>
              <w:t>215.3</w:t>
            </w:r>
          </w:p>
        </w:tc>
        <w:tc>
          <w:tcPr>
            <w:tcW w:type="dxa" w:w="1504"/>
          </w:tcPr>
          <w:p>
            <w:pPr>
              <w:jc w:val="center"/>
            </w:pPr>
            <w:r>
              <w:rPr>
                <w:color w:val="1F7A3C"/>
                <w:sz w:val="18"/>
              </w:rPr>
              <w:t>13</w:t>
            </w:r>
          </w:p>
        </w:tc>
        <w:tc>
          <w:tcPr>
            <w:tcW w:type="dxa" w:w="1504"/>
          </w:tcPr>
          <w:p>
            <w:pPr>
              <w:jc w:val="center"/>
            </w:pPr>
            <w:r>
              <w:rPr>
                <w:color w:val="1F7A3C"/>
                <w:sz w:val="18"/>
              </w:rPr>
              <w:t>274.6</w:t>
            </w:r>
          </w:p>
        </w:tc>
        <w:tc>
          <w:tcPr>
            <w:tcW w:type="dxa" w:w="1504"/>
          </w:tcPr>
          <w:p>
            <w:pPr>
              <w:jc w:val="center"/>
            </w:pPr>
            <w:r>
              <w:rPr>
                <w:color w:val="1F7A3C"/>
                <w:sz w:val="18"/>
              </w:rPr>
              <w:t>14</w:t>
            </w:r>
          </w:p>
        </w:tc>
        <w:tc>
          <w:tcPr>
            <w:tcW w:type="dxa" w:w="1504"/>
          </w:tcPr>
          <w:p>
            <w:pPr>
              <w:jc w:val="center"/>
            </w:pPr>
            <w:r>
              <w:rPr>
                <w:color w:val="1F7A3C"/>
                <w:sz w:val="18"/>
              </w:rPr>
              <w:t>-1</w:t>
            </w:r>
          </w:p>
        </w:tc>
      </w:tr>
      <w:tr>
        <w:tc>
          <w:tcPr>
            <w:tcW w:type="dxa" w:w="1504"/>
          </w:tcPr>
          <w:p>
            <w:pPr>
              <w:jc w:val="left"/>
            </w:pPr>
            <w:r>
              <w:rPr>
                <w:color w:val="1F7A3C"/>
                <w:sz w:val="18"/>
              </w:rPr>
              <w:t>CarenR_Dist_Stack</w:t>
            </w:r>
          </w:p>
        </w:tc>
        <w:tc>
          <w:tcPr>
            <w:tcW w:type="dxa" w:w="1504"/>
          </w:tcPr>
          <w:p>
            <w:pPr>
              <w:jc w:val="center"/>
            </w:pPr>
            <w:r>
              <w:rPr>
                <w:color w:val="1F7A3C"/>
                <w:sz w:val="18"/>
              </w:rPr>
              <w:t>229.0</w:t>
            </w:r>
          </w:p>
        </w:tc>
        <w:tc>
          <w:tcPr>
            <w:tcW w:type="dxa" w:w="1504"/>
          </w:tcPr>
          <w:p>
            <w:pPr>
              <w:jc w:val="center"/>
            </w:pPr>
            <w:r>
              <w:rPr>
                <w:color w:val="1F7A3C"/>
                <w:sz w:val="18"/>
              </w:rPr>
              <w:t>14</w:t>
            </w:r>
          </w:p>
        </w:tc>
        <w:tc>
          <w:tcPr>
            <w:tcW w:type="dxa" w:w="1504"/>
          </w:tcPr>
          <w:p>
            <w:pPr>
              <w:jc w:val="center"/>
            </w:pPr>
            <w:r>
              <w:rPr>
                <w:color w:val="1F7A3C"/>
                <w:sz w:val="18"/>
              </w:rPr>
              <w:t>196.2</w:t>
            </w:r>
          </w:p>
        </w:tc>
        <w:tc>
          <w:tcPr>
            <w:tcW w:type="dxa" w:w="1504"/>
          </w:tcPr>
          <w:p>
            <w:pPr>
              <w:jc w:val="center"/>
            </w:pPr>
            <w:r>
              <w:rPr>
                <w:color w:val="1F7A3C"/>
                <w:sz w:val="18"/>
              </w:rPr>
              <w:t>8</w:t>
            </w:r>
          </w:p>
        </w:tc>
        <w:tc>
          <w:tcPr>
            <w:tcW w:type="dxa" w:w="1504"/>
          </w:tcPr>
          <w:p>
            <w:pPr>
              <w:jc w:val="center"/>
            </w:pPr>
            <w:r>
              <w:rPr>
                <w:color w:val="1F7A3C"/>
                <w:sz w:val="18"/>
              </w:rPr>
              <w:t>+6</w:t>
            </w:r>
          </w:p>
        </w:tc>
      </w:tr>
      <w:tr>
        <w:tc>
          <w:tcPr>
            <w:tcW w:type="dxa" w:w="1504"/>
          </w:tcPr>
          <w:p>
            <w:pPr>
              <w:jc w:val="left"/>
            </w:pPr>
            <w:r>
              <w:rPr>
                <w:color w:val="1F7A3C"/>
                <w:sz w:val="18"/>
              </w:rPr>
              <w:t>CarenR_Supervised</w:t>
            </w:r>
          </w:p>
        </w:tc>
        <w:tc>
          <w:tcPr>
            <w:tcW w:type="dxa" w:w="1504"/>
          </w:tcPr>
          <w:p>
            <w:pPr>
              <w:jc w:val="center"/>
            </w:pPr>
            <w:r>
              <w:rPr>
                <w:color w:val="1F7A3C"/>
                <w:sz w:val="18"/>
              </w:rPr>
              <w:t>239.5</w:t>
            </w:r>
          </w:p>
        </w:tc>
        <w:tc>
          <w:tcPr>
            <w:tcW w:type="dxa" w:w="1504"/>
          </w:tcPr>
          <w:p>
            <w:pPr>
              <w:jc w:val="center"/>
            </w:pPr>
            <w:r>
              <w:rPr>
                <w:color w:val="1F7A3C"/>
                <w:sz w:val="18"/>
              </w:rPr>
              <w:t>15</w:t>
            </w:r>
          </w:p>
        </w:tc>
        <w:tc>
          <w:tcPr>
            <w:tcW w:type="dxa" w:w="1504"/>
          </w:tcPr>
          <w:p>
            <w:pPr>
              <w:jc w:val="center"/>
            </w:pPr>
            <w:r>
              <w:rPr>
                <w:color w:val="1F7A3C"/>
                <w:sz w:val="18"/>
              </w:rPr>
              <w:t>347.3</w:t>
            </w:r>
          </w:p>
        </w:tc>
        <w:tc>
          <w:tcPr>
            <w:tcW w:type="dxa" w:w="1504"/>
          </w:tcPr>
          <w:p>
            <w:pPr>
              <w:jc w:val="center"/>
            </w:pPr>
            <w:r>
              <w:rPr>
                <w:color w:val="1F7A3C"/>
                <w:sz w:val="18"/>
              </w:rPr>
              <w:t>15</w:t>
            </w:r>
          </w:p>
        </w:tc>
        <w:tc>
          <w:tcPr>
            <w:tcW w:type="dxa" w:w="1504"/>
          </w:tcPr>
          <w:p>
            <w:pPr>
              <w:jc w:val="center"/>
            </w:pPr>
            <w:r>
              <w:rPr>
                <w:color w:val="1F7A3C"/>
                <w:sz w:val="18"/>
              </w:rPr>
              <w:t>+0</w:t>
            </w:r>
          </w:p>
        </w:tc>
      </w:tr>
      <w:tr>
        <w:tc>
          <w:tcPr>
            <w:tcW w:type="dxa" w:w="1504"/>
          </w:tcPr>
          <w:p>
            <w:pPr>
              <w:jc w:val="left"/>
            </w:pPr>
            <w:r>
              <w:rPr>
                <w:color w:val="606060"/>
                <w:sz w:val="18"/>
              </w:rPr>
              <w:t>DT</w:t>
            </w:r>
          </w:p>
        </w:tc>
        <w:tc>
          <w:tcPr>
            <w:tcW w:type="dxa" w:w="1504"/>
          </w:tcPr>
          <w:p>
            <w:pPr>
              <w:jc w:val="center"/>
            </w:pPr>
            <w:r>
              <w:rPr>
                <w:color w:val="606060"/>
                <w:sz w:val="18"/>
              </w:rPr>
              <w:t>249.7</w:t>
            </w:r>
          </w:p>
        </w:tc>
        <w:tc>
          <w:tcPr>
            <w:tcW w:type="dxa" w:w="1504"/>
          </w:tcPr>
          <w:p>
            <w:pPr>
              <w:jc w:val="center"/>
            </w:pPr>
            <w:r>
              <w:rPr>
                <w:color w:val="606060"/>
                <w:sz w:val="18"/>
              </w:rPr>
              <w:t>16</w:t>
            </w:r>
          </w:p>
        </w:tc>
        <w:tc>
          <w:tcPr>
            <w:tcW w:type="dxa" w:w="1504"/>
          </w:tcPr>
          <w:p>
            <w:pPr>
              <w:jc w:val="center"/>
            </w:pPr>
            <w:r>
              <w:rPr>
                <w:color w:val="606060"/>
                <w:sz w:val="18"/>
              </w:rPr>
              <w:t>479.3</w:t>
            </w:r>
          </w:p>
        </w:tc>
        <w:tc>
          <w:tcPr>
            <w:tcW w:type="dxa" w:w="1504"/>
          </w:tcPr>
          <w:p>
            <w:pPr>
              <w:jc w:val="center"/>
            </w:pPr>
            <w:r>
              <w:rPr>
                <w:color w:val="606060"/>
                <w:sz w:val="18"/>
              </w:rPr>
              <w:t>16</w:t>
            </w:r>
          </w:p>
        </w:tc>
        <w:tc>
          <w:tcPr>
            <w:tcW w:type="dxa" w:w="1504"/>
          </w:tcPr>
          <w:p>
            <w:pPr>
              <w:jc w:val="center"/>
            </w:pPr>
            <w:r>
              <w:rPr>
                <w:color w:val="606060"/>
                <w:sz w:val="18"/>
              </w:rPr>
              <w:t>+0</w:t>
            </w:r>
          </w:p>
        </w:tc>
      </w:tr>
      <w:tr>
        <w:tc>
          <w:tcPr>
            <w:tcW w:type="dxa" w:w="1504"/>
          </w:tcPr>
          <w:p>
            <w:pPr>
              <w:jc w:val="left"/>
            </w:pPr>
            <w:r>
              <w:rPr>
                <w:color w:val="606060"/>
                <w:sz w:val="18"/>
              </w:rPr>
              <w:t>Ripper</w:t>
            </w:r>
          </w:p>
        </w:tc>
        <w:tc>
          <w:tcPr>
            <w:tcW w:type="dxa" w:w="1504"/>
          </w:tcPr>
          <w:p>
            <w:pPr>
              <w:jc w:val="center"/>
            </w:pPr>
            <w:r>
              <w:rPr>
                <w:color w:val="606060"/>
                <w:sz w:val="18"/>
              </w:rPr>
              <w:t>279.4</w:t>
            </w:r>
          </w:p>
        </w:tc>
        <w:tc>
          <w:tcPr>
            <w:tcW w:type="dxa" w:w="1504"/>
          </w:tcPr>
          <w:p>
            <w:pPr>
              <w:jc w:val="center"/>
            </w:pPr>
            <w:r>
              <w:rPr>
                <w:color w:val="606060"/>
                <w:sz w:val="18"/>
              </w:rPr>
              <w:t>17</w:t>
            </w:r>
          </w:p>
        </w:tc>
        <w:tc>
          <w:tcPr>
            <w:tcW w:type="dxa" w:w="1504"/>
          </w:tcPr>
          <w:p>
            <w:pPr>
              <w:jc w:val="center"/>
            </w:pPr>
            <w:r>
              <w:rPr>
                <w:color w:val="606060"/>
                <w:sz w:val="18"/>
              </w:rPr>
              <w:t>508.2</w:t>
            </w:r>
          </w:p>
        </w:tc>
        <w:tc>
          <w:tcPr>
            <w:tcW w:type="dxa" w:w="1504"/>
          </w:tcPr>
          <w:p>
            <w:pPr>
              <w:jc w:val="center"/>
            </w:pPr>
            <w:r>
              <w:rPr>
                <w:color w:val="606060"/>
                <w:sz w:val="18"/>
              </w:rPr>
              <w:t>17</w:t>
            </w:r>
          </w:p>
        </w:tc>
        <w:tc>
          <w:tcPr>
            <w:tcW w:type="dxa" w:w="1504"/>
          </w:tcPr>
          <w:p>
            <w:pPr>
              <w:jc w:val="center"/>
            </w:pPr>
            <w:r>
              <w:rPr>
                <w:color w:val="606060"/>
                <w:sz w:val="18"/>
              </w:rPr>
              <w:t>+0</w:t>
            </w:r>
          </w:p>
        </w:tc>
      </w:tr>
    </w:tbl>
    <w:p>
      <w:r>
        <w:rPr>
          <w:b w:val="0"/>
          <w:i w:val="0"/>
          <w:sz w:val="22"/>
        </w:rPr>
      </w:r>
    </w:p>
    <w:p>
      <w:r>
        <w:rPr>
          <w:b w:val="0"/>
          <w:i/>
          <w:sz w:val="18"/>
        </w:rPr>
        <w:t>Blue = naive baselines  |  Green = CarenR variants  |  Grey = other ML models</w:t>
      </w:r>
    </w:p>
    <w:p>
      <w:pPr>
        <w:pStyle w:val="Heading2"/>
      </w:pPr>
      <w:r>
        <w:rPr>
          <w:color w:val="1F497D"/>
        </w:rPr>
        <w:t>13.2 Key Finding: Rank Reversals Between Regions</w:t>
      </w:r>
    </w:p>
    <w:p>
      <w:r>
        <w:rPr>
          <w:b w:val="0"/>
          <w:i w:val="0"/>
          <w:sz w:val="22"/>
        </w:rPr>
        <w:t>The most striking result is that the best CarenR variant for RDD is not the best for RVV — and vice versa. The rank ordering changes substantially across regions:</w:t>
      </w:r>
    </w:p>
    <w:p>
      <w:r>
        <w:rPr>
          <w:b w:val="0"/>
          <w:i w:val="0"/>
          <w:sz w:val="22"/>
        </w:rPr>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center"/>
            </w:pPr>
            <w:r>
              <w:rPr>
                <w:b/>
                <w:sz w:val="18"/>
              </w:rPr>
              <w:t>Model</w:t>
            </w:r>
          </w:p>
        </w:tc>
        <w:tc>
          <w:tcPr>
            <w:tcW w:type="dxa" w:w="1504"/>
          </w:tcPr>
          <w:p>
            <w:pPr>
              <w:jc w:val="center"/>
            </w:pPr>
            <w:r>
              <w:rPr>
                <w:b/>
                <w:sz w:val="18"/>
              </w:rPr>
              <w:t>RDD rank</w:t>
            </w:r>
          </w:p>
        </w:tc>
        <w:tc>
          <w:tcPr>
            <w:tcW w:type="dxa" w:w="1504"/>
          </w:tcPr>
          <w:p>
            <w:pPr>
              <w:jc w:val="center"/>
            </w:pPr>
            <w:r>
              <w:rPr>
                <w:b/>
                <w:sz w:val="18"/>
              </w:rPr>
              <w:t>RDD wtd MAE</w:t>
            </w:r>
          </w:p>
        </w:tc>
        <w:tc>
          <w:tcPr>
            <w:tcW w:type="dxa" w:w="1504"/>
          </w:tcPr>
          <w:p>
            <w:pPr>
              <w:jc w:val="center"/>
            </w:pPr>
            <w:r>
              <w:rPr>
                <w:b/>
                <w:sz w:val="18"/>
              </w:rPr>
              <w:t>RVV rank</w:t>
            </w:r>
          </w:p>
        </w:tc>
        <w:tc>
          <w:tcPr>
            <w:tcW w:type="dxa" w:w="1504"/>
          </w:tcPr>
          <w:p>
            <w:pPr>
              <w:jc w:val="center"/>
            </w:pPr>
            <w:r>
              <w:rPr>
                <w:b/>
                <w:sz w:val="18"/>
              </w:rPr>
              <w:t>RVV wtd MAE</w:t>
            </w:r>
          </w:p>
        </w:tc>
        <w:tc>
          <w:tcPr>
            <w:tcW w:type="dxa" w:w="1504"/>
          </w:tcPr>
          <w:p>
            <w:pPr>
              <w:jc w:val="center"/>
            </w:pPr>
            <w:r>
              <w:rPr>
                <w:b/>
                <w:sz w:val="18"/>
              </w:rPr>
              <w:t>Interpretation</w:t>
            </w:r>
          </w:p>
        </w:tc>
      </w:tr>
      <w:tr>
        <w:tc>
          <w:tcPr>
            <w:tcW w:type="dxa" w:w="1504"/>
          </w:tcPr>
          <w:p>
            <w:pPr>
              <w:jc w:val="left"/>
            </w:pPr>
            <w:r>
              <w:rPr>
                <w:sz w:val="18"/>
              </w:rPr>
              <w:t>CarenR_Dist_Eta2</w:t>
            </w:r>
          </w:p>
        </w:tc>
        <w:tc>
          <w:tcPr>
            <w:tcW w:type="dxa" w:w="1504"/>
          </w:tcPr>
          <w:p>
            <w:pPr>
              <w:jc w:val="center"/>
            </w:pPr>
            <w:r>
              <w:rPr>
                <w:sz w:val="18"/>
              </w:rPr>
              <w:t>2nd</w:t>
            </w:r>
          </w:p>
        </w:tc>
        <w:tc>
          <w:tcPr>
            <w:tcW w:type="dxa" w:w="1504"/>
          </w:tcPr>
          <w:p>
            <w:pPr>
              <w:jc w:val="center"/>
            </w:pPr>
            <w:r>
              <w:rPr>
                <w:sz w:val="18"/>
              </w:rPr>
              <w:t>189.2</w:t>
            </w:r>
          </w:p>
        </w:tc>
        <w:tc>
          <w:tcPr>
            <w:tcW w:type="dxa" w:w="1504"/>
          </w:tcPr>
          <w:p>
            <w:pPr>
              <w:jc w:val="center"/>
            </w:pPr>
            <w:r>
              <w:rPr>
                <w:sz w:val="18"/>
              </w:rPr>
              <w:t>12th</w:t>
            </w:r>
          </w:p>
        </w:tc>
        <w:tc>
          <w:tcPr>
            <w:tcW w:type="dxa" w:w="1504"/>
          </w:tcPr>
          <w:p>
            <w:pPr>
              <w:jc w:val="center"/>
            </w:pPr>
            <w:r>
              <w:rPr>
                <w:sz w:val="18"/>
              </w:rPr>
              <w:t>225.7</w:t>
            </w:r>
          </w:p>
        </w:tc>
        <w:tc>
          <w:tcPr>
            <w:tcW w:type="dxa" w:w="1504"/>
          </w:tcPr>
          <w:p>
            <w:pPr>
              <w:jc w:val="center"/>
            </w:pPr>
            <w:r>
              <w:rPr>
                <w:sz w:val="18"/>
              </w:rPr>
              <w:t>Excellent in Douro, poor in VV — η² captures Douro-specific signal</w:t>
            </w:r>
          </w:p>
        </w:tc>
      </w:tr>
      <w:tr>
        <w:tc>
          <w:tcPr>
            <w:tcW w:type="dxa" w:w="1504"/>
          </w:tcPr>
          <w:p>
            <w:pPr>
              <w:jc w:val="left"/>
            </w:pPr>
            <w:r>
              <w:rPr>
                <w:sz w:val="18"/>
              </w:rPr>
              <w:t>CarenR_Dist_FS</w:t>
            </w:r>
          </w:p>
        </w:tc>
        <w:tc>
          <w:tcPr>
            <w:tcW w:type="dxa" w:w="1504"/>
          </w:tcPr>
          <w:p>
            <w:pPr>
              <w:jc w:val="center"/>
            </w:pPr>
            <w:r>
              <w:rPr>
                <w:sz w:val="18"/>
              </w:rPr>
              <w:t>3rd</w:t>
            </w:r>
          </w:p>
        </w:tc>
        <w:tc>
          <w:tcPr>
            <w:tcW w:type="dxa" w:w="1504"/>
          </w:tcPr>
          <w:p>
            <w:pPr>
              <w:jc w:val="center"/>
            </w:pPr>
            <w:r>
              <w:rPr>
                <w:sz w:val="18"/>
              </w:rPr>
              <w:t>193.5</w:t>
            </w:r>
          </w:p>
        </w:tc>
        <w:tc>
          <w:tcPr>
            <w:tcW w:type="dxa" w:w="1504"/>
          </w:tcPr>
          <w:p>
            <w:pPr>
              <w:jc w:val="center"/>
            </w:pPr>
            <w:r>
              <w:rPr>
                <w:sz w:val="18"/>
              </w:rPr>
              <w:t>10th</w:t>
            </w:r>
          </w:p>
        </w:tc>
        <w:tc>
          <w:tcPr>
            <w:tcW w:type="dxa" w:w="1504"/>
          </w:tcPr>
          <w:p>
            <w:pPr>
              <w:jc w:val="center"/>
            </w:pPr>
            <w:r>
              <w:rPr>
                <w:sz w:val="18"/>
              </w:rPr>
              <w:t>222.4</w:t>
            </w:r>
          </w:p>
        </w:tc>
        <w:tc>
          <w:tcPr>
            <w:tcW w:type="dxa" w:w="1504"/>
          </w:tcPr>
          <w:p>
            <w:pPr>
              <w:jc w:val="center"/>
            </w:pPr>
            <w:r>
              <w:rPr>
                <w:sz w:val="18"/>
              </w:rPr>
              <w:t>Good in Douro, mediocre in VV — Pearson top-N works better for RDD</w:t>
            </w:r>
          </w:p>
        </w:tc>
      </w:tr>
      <w:tr>
        <w:tc>
          <w:tcPr>
            <w:tcW w:type="dxa" w:w="1504"/>
          </w:tcPr>
          <w:p>
            <w:pPr>
              <w:jc w:val="left"/>
            </w:pPr>
            <w:r>
              <w:rPr>
                <w:sz w:val="18"/>
              </w:rPr>
              <w:t>CarenR_Dist_Sup_FS</w:t>
            </w:r>
          </w:p>
        </w:tc>
        <w:tc>
          <w:tcPr>
            <w:tcW w:type="dxa" w:w="1504"/>
          </w:tcPr>
          <w:p>
            <w:pPr>
              <w:jc w:val="center"/>
            </w:pPr>
            <w:r>
              <w:rPr>
                <w:sz w:val="18"/>
              </w:rPr>
              <w:t>5th</w:t>
            </w:r>
          </w:p>
        </w:tc>
        <w:tc>
          <w:tcPr>
            <w:tcW w:type="dxa" w:w="1504"/>
          </w:tcPr>
          <w:p>
            <w:pPr>
              <w:jc w:val="center"/>
            </w:pPr>
            <w:r>
              <w:rPr>
                <w:sz w:val="18"/>
              </w:rPr>
              <w:t>196.9</w:t>
            </w:r>
          </w:p>
        </w:tc>
        <w:tc>
          <w:tcPr>
            <w:tcW w:type="dxa" w:w="1504"/>
          </w:tcPr>
          <w:p>
            <w:pPr>
              <w:jc w:val="center"/>
            </w:pPr>
            <w:r>
              <w:rPr>
                <w:sz w:val="18"/>
              </w:rPr>
              <w:t>4th</w:t>
            </w:r>
          </w:p>
        </w:tc>
        <w:tc>
          <w:tcPr>
            <w:tcW w:type="dxa" w:w="1504"/>
          </w:tcPr>
          <w:p>
            <w:pPr>
              <w:jc w:val="center"/>
            </w:pPr>
            <w:r>
              <w:rPr>
                <w:sz w:val="18"/>
              </w:rPr>
              <w:t>171.6</w:t>
            </w:r>
          </w:p>
        </w:tc>
        <w:tc>
          <w:tcPr>
            <w:tcW w:type="dxa" w:w="1504"/>
          </w:tcPr>
          <w:p>
            <w:pPr>
              <w:jc w:val="center"/>
            </w:pPr>
            <w:r>
              <w:rPr>
                <w:sz w:val="18"/>
              </w:rPr>
              <w:t>Best in VV (falls back to median), competitive in RDD</w:t>
            </w:r>
          </w:p>
        </w:tc>
      </w:tr>
      <w:tr>
        <w:tc>
          <w:tcPr>
            <w:tcW w:type="dxa" w:w="1504"/>
          </w:tcPr>
          <w:p>
            <w:pPr>
              <w:jc w:val="left"/>
            </w:pPr>
            <w:r>
              <w:rPr>
                <w:sz w:val="18"/>
              </w:rPr>
              <w:t>CarenR_Dist_Conf</w:t>
            </w:r>
          </w:p>
        </w:tc>
        <w:tc>
          <w:tcPr>
            <w:tcW w:type="dxa" w:w="1504"/>
          </w:tcPr>
          <w:p>
            <w:pPr>
              <w:jc w:val="center"/>
            </w:pPr>
            <w:r>
              <w:rPr>
                <w:sz w:val="18"/>
              </w:rPr>
              <w:t>10th</w:t>
            </w:r>
          </w:p>
        </w:tc>
        <w:tc>
          <w:tcPr>
            <w:tcW w:type="dxa" w:w="1504"/>
          </w:tcPr>
          <w:p>
            <w:pPr>
              <w:jc w:val="center"/>
            </w:pPr>
            <w:r>
              <w:rPr>
                <w:sz w:val="18"/>
              </w:rPr>
              <w:t>203.1</w:t>
            </w:r>
          </w:p>
        </w:tc>
        <w:tc>
          <w:tcPr>
            <w:tcW w:type="dxa" w:w="1504"/>
          </w:tcPr>
          <w:p>
            <w:pPr>
              <w:jc w:val="center"/>
            </w:pPr>
            <w:r>
              <w:rPr>
                <w:sz w:val="18"/>
              </w:rPr>
              <w:t>6th</w:t>
            </w:r>
          </w:p>
        </w:tc>
        <w:tc>
          <w:tcPr>
            <w:tcW w:type="dxa" w:w="1504"/>
          </w:tcPr>
          <w:p>
            <w:pPr>
              <w:jc w:val="center"/>
            </w:pPr>
            <w:r>
              <w:rPr>
                <w:sz w:val="18"/>
              </w:rPr>
              <w:t>171.6</w:t>
            </w:r>
          </w:p>
        </w:tc>
        <w:tc>
          <w:tcPr>
            <w:tcW w:type="dxa" w:w="1504"/>
          </w:tcPr>
          <w:p>
            <w:pPr>
              <w:jc w:val="center"/>
            </w:pPr>
            <w:r>
              <w:rPr>
                <w:sz w:val="18"/>
              </w:rPr>
              <w:t>Better in VV — confidence weighting helps VV slightly</w:t>
            </w:r>
          </w:p>
        </w:tc>
      </w:tr>
      <w:tr>
        <w:tc>
          <w:tcPr>
            <w:tcW w:type="dxa" w:w="1504"/>
          </w:tcPr>
          <w:p>
            <w:pPr>
              <w:jc w:val="left"/>
            </w:pPr>
            <w:r>
              <w:rPr>
                <w:sz w:val="18"/>
              </w:rPr>
              <w:t>CarenR_Dist_Stack</w:t>
            </w:r>
          </w:p>
        </w:tc>
        <w:tc>
          <w:tcPr>
            <w:tcW w:type="dxa" w:w="1504"/>
          </w:tcPr>
          <w:p>
            <w:pPr>
              <w:jc w:val="center"/>
            </w:pPr>
            <w:r>
              <w:rPr>
                <w:sz w:val="18"/>
              </w:rPr>
              <w:t>14th</w:t>
            </w:r>
          </w:p>
        </w:tc>
        <w:tc>
          <w:tcPr>
            <w:tcW w:type="dxa" w:w="1504"/>
          </w:tcPr>
          <w:p>
            <w:pPr>
              <w:jc w:val="center"/>
            </w:pPr>
            <w:r>
              <w:rPr>
                <w:sz w:val="18"/>
              </w:rPr>
              <w:t>229.0</w:t>
            </w:r>
          </w:p>
        </w:tc>
        <w:tc>
          <w:tcPr>
            <w:tcW w:type="dxa" w:w="1504"/>
          </w:tcPr>
          <w:p>
            <w:pPr>
              <w:jc w:val="center"/>
            </w:pPr>
            <w:r>
              <w:rPr>
                <w:sz w:val="18"/>
              </w:rPr>
              <w:t>8th</w:t>
            </w:r>
          </w:p>
        </w:tc>
        <w:tc>
          <w:tcPr>
            <w:tcW w:type="dxa" w:w="1504"/>
          </w:tcPr>
          <w:p>
            <w:pPr>
              <w:jc w:val="center"/>
            </w:pPr>
            <w:r>
              <w:rPr>
                <w:sz w:val="18"/>
              </w:rPr>
              <w:t>196.2</w:t>
            </w:r>
          </w:p>
        </w:tc>
        <w:tc>
          <w:tcPr>
            <w:tcW w:type="dxa" w:w="1504"/>
          </w:tcPr>
          <w:p>
            <w:pPr>
              <w:jc w:val="center"/>
            </w:pPr>
            <w:r>
              <w:rPr>
                <w:sz w:val="18"/>
              </w:rPr>
              <w:t>Much worse in Douro — stacking amplifies noise with small test sets</w:t>
            </w:r>
          </w:p>
        </w:tc>
      </w:tr>
      <w:tr>
        <w:tc>
          <w:tcPr>
            <w:tcW w:type="dxa" w:w="1504"/>
          </w:tcPr>
          <w:p>
            <w:pPr>
              <w:jc w:val="left"/>
            </w:pPr>
            <w:r>
              <w:rPr>
                <w:sz w:val="18"/>
              </w:rPr>
              <w:t>M5Rules</w:t>
            </w:r>
          </w:p>
        </w:tc>
        <w:tc>
          <w:tcPr>
            <w:tcW w:type="dxa" w:w="1504"/>
          </w:tcPr>
          <w:p>
            <w:pPr>
              <w:jc w:val="center"/>
            </w:pPr>
            <w:r>
              <w:rPr>
                <w:sz w:val="18"/>
              </w:rPr>
              <w:t>8th</w:t>
            </w:r>
          </w:p>
        </w:tc>
        <w:tc>
          <w:tcPr>
            <w:tcW w:type="dxa" w:w="1504"/>
          </w:tcPr>
          <w:p>
            <w:pPr>
              <w:jc w:val="center"/>
            </w:pPr>
            <w:r>
              <w:rPr>
                <w:sz w:val="18"/>
              </w:rPr>
              <w:t>200.0</w:t>
            </w:r>
          </w:p>
        </w:tc>
        <w:tc>
          <w:tcPr>
            <w:tcW w:type="dxa" w:w="1504"/>
          </w:tcPr>
          <w:p>
            <w:pPr>
              <w:jc w:val="center"/>
            </w:pPr>
            <w:r>
              <w:rPr>
                <w:sz w:val="18"/>
              </w:rPr>
              <w:t>13th</w:t>
            </w:r>
          </w:p>
        </w:tc>
        <w:tc>
          <w:tcPr>
            <w:tcW w:type="dxa" w:w="1504"/>
          </w:tcPr>
          <w:p>
            <w:pPr>
              <w:jc w:val="center"/>
            </w:pPr>
            <w:r>
              <w:rPr>
                <w:sz w:val="18"/>
              </w:rPr>
              <w:t>267.5</w:t>
            </w:r>
          </w:p>
        </w:tc>
        <w:tc>
          <w:tcPr>
            <w:tcW w:type="dxa" w:w="1504"/>
          </w:tcPr>
          <w:p>
            <w:pPr>
              <w:jc w:val="center"/>
            </w:pPr>
            <w:r>
              <w:rPr>
                <w:sz w:val="18"/>
              </w:rPr>
              <w:t>Competitive in Douro, poor in VV — regression suits RDD better</w:t>
            </w:r>
          </w:p>
        </w:tc>
      </w:tr>
    </w:tbl>
    <w:p>
      <w:r>
        <w:rPr>
          <w:b w:val="0"/>
          <w:i w:val="0"/>
          <w:sz w:val="22"/>
        </w:rPr>
      </w:r>
    </w:p>
    <w:p>
      <w:pPr>
        <w:pStyle w:val="Heading2"/>
      </w:pPr>
      <w:r>
        <w:rPr>
          <w:color w:val="1F497D"/>
        </w:rPr>
        <w:t>13.3 Why Different Feature Selectors Win in Different Regions</w:t>
      </w:r>
    </w:p>
    <w:p>
      <w:r>
        <w:rPr>
          <w:b w:val="0"/>
          <w:i w:val="0"/>
          <w:sz w:val="22"/>
        </w:rPr>
        <w:t>In RDD (Douro), CarenR actually fires rules in several scenarios — the climate signal is strong enough that some rules improve on the median. In this context, the quality of the feature selection matters: η² and Pearson top-N find the right Douro features (post-flowering dry days, soil water at veraison), producing rules that genuinely discriminate production levels.</w:t>
      </w:r>
    </w:p>
    <w:p>
      <w:r>
        <w:rPr>
          <w:b w:val="0"/>
          <w:i w:val="0"/>
          <w:sz w:val="22"/>
        </w:rPr>
        <w:t>In RVV (Vinho Verde), nearly all CarenR variants fall back to the training median in most scenarios (0 rules fire). When prediction is dominated by the fallback, the feature selection method makes no practical difference — all variants produce the same prediction. The small MAE differences between CarenR variants in RVV (171–226 mhl) are driven by the handful of scenarios where rules do fire, and in those cases the less aggressive selectors (Sup_FS, Conf) happen to fire slightly better-calibrated rules.</w:t>
      </w:r>
    </w:p>
    <w:p>
      <w:pPr>
        <w:pStyle w:val="ListBullet"/>
      </w:pPr>
      <w:r>
        <w:rPr>
          <w:sz w:val="22"/>
        </w:rPr>
        <w:t>RDD: feature selection quality matters — better selectors find better rules that genuinely fire and improve predictions. η² and Pearson top-N are best.</w:t>
      </w:r>
    </w:p>
    <w:p>
      <w:pPr>
        <w:pStyle w:val="ListBullet"/>
      </w:pPr>
      <w:r>
        <w:rPr>
          <w:sz w:val="22"/>
        </w:rPr>
        <w:t>RVV: feature selection quality is largely irrelevant because rules rarely fire. The 22% gap to Naive_Median is dominated by the fallback mechanism, not by which features were selected.</w:t>
      </w:r>
    </w:p>
    <w:p>
      <w:pPr>
        <w:pStyle w:val="ListBullet"/>
      </w:pPr>
      <w:r>
        <w:rPr>
          <w:sz w:val="22"/>
        </w:rPr>
        <w:t>CarenR_Dist_Sup_FS performs consistently across both regions (5th RDD, 4th RVV) because it is conservative enough not to fire bad rules in RVV, while still finding enough signal in RDD to stay competitive.</w:t>
      </w:r>
    </w:p>
    <w:p>
      <w:pPr>
        <w:pStyle w:val="Heading2"/>
      </w:pPr>
      <w:r>
        <w:rPr>
          <w:color w:val="1F497D"/>
        </w:rPr>
        <w:t>13.4 Consistent Findings Across Both Regions</w:t>
      </w:r>
    </w:p>
    <w:p>
      <w:r>
        <w:rPr>
          <w:b w:val="0"/>
          <w:i w:val="0"/>
          <w:sz w:val="22"/>
        </w:rPr>
        <w:t>Despite the rank reversals, several findings are stable across both regions:</w:t>
      </w:r>
    </w:p>
    <w:p>
      <w:pPr>
        <w:pStyle w:val="ListBullet"/>
      </w:pPr>
      <w:r>
        <w:rPr>
          <w:sz w:val="22"/>
        </w:rPr>
        <w:t>Naive_Median (training median) is the best model in both regions — rank 1 in both RDD (184 mhl) and RVV (140 mhl). This confirms the mathematical result: the median minimises MAE, and no model can beat it without identifying reliable subgroups.</w:t>
      </w:r>
    </w:p>
    <w:p>
      <w:pPr>
        <w:pStyle w:val="ListBullet"/>
      </w:pPr>
      <w:r>
        <w:rPr>
          <w:sz w:val="22"/>
        </w:rPr>
        <w:t>CarenR variants consistently beat RIPPER and Decision Tree in both regions. The distributional rule approach is more robust than classification or tree splitting with small datasets.</w:t>
      </w:r>
    </w:p>
    <w:p>
      <w:pPr>
        <w:pStyle w:val="ListBullet"/>
      </w:pPr>
      <w:r>
        <w:rPr>
          <w:sz w:val="22"/>
        </w:rPr>
        <w:t>M5Rules is competitive in RDD (200 mhl, rank 8) but poor in RVV (268 mhl, rank 13). The piecewise linear structure suits the more consistent Douro climate signal.</w:t>
      </w:r>
    </w:p>
    <w:p>
      <w:pPr>
        <w:pStyle w:val="ListBullet"/>
      </w:pPr>
      <w:r>
        <w:rPr>
          <w:sz w:val="22"/>
        </w:rPr>
        <w:t>CarenR_Supervised (per-fold supervised discretization) is the worst CarenR variant in both regions (rank 15 in both), confirming overfitting of the feature engineering step as a generalizable problem, not a region-specific artefact.</w:t>
      </w:r>
    </w:p>
    <w:p>
      <w:pPr>
        <w:pStyle w:val="ListBullet"/>
      </w:pPr>
      <w:r>
        <w:rPr>
          <w:sz w:val="22"/>
        </w:rPr>
        <w:t>RIPPER and Decision Tree are always the worst ML models in both regions (ranks 16–17), confirming that hard classification boundaries and tree splits do not suit this small-N, high-variance problem.</w:t>
      </w:r>
    </w:p>
    <w:p>
      <w:pPr>
        <w:pStyle w:val="Heading2"/>
      </w:pPr>
      <w:r>
        <w:rPr>
          <w:color w:val="1F497D"/>
        </w:rPr>
        <w:t>13.5 Thesis Implication</w:t>
      </w:r>
    </w:p>
    <w:p>
      <w:r>
        <w:rPr>
          <w:b w:val="0"/>
          <w:i w:val="0"/>
          <w:sz w:val="22"/>
        </w:rPr>
        <w:t>The cross-region comparison provides a natural structure for the Results chapter. Rather than reporting a single ranking, the thesis can present the regional comparison as a sensitivity analysis: does the conclusion change when we move from one region to another?</w:t>
      </w:r>
    </w:p>
    <w:p>
      <w:r>
        <w:rPr>
          <w:b w:val="0"/>
          <w:i w:val="0"/>
          <w:sz w:val="22"/>
        </w:rPr>
        <w:t>The honest answer is that the headline conclusion is robust — Naive_Median wins in both regions — but the degree of competitiveness of CarenR varies. Douro shows a 3% gap (189 vs 184 mhl), Vinho Verde shows a 22% gap (172 vs 140 mhl). This difference itself is a finding: the Douro's drier, more continental climate produces a cleaner agroclimatic signal that CarenR can partially exploit, while Vinho Verde's wetter Atlantic climate creates more year-to-year noise that overwhelms the rule-based signal.</w:t>
      </w:r>
    </w:p>
    <w:p>
      <w:r>
        <w:br w:type="page"/>
      </w:r>
    </w:p>
    <w:p>
      <w:pPr>
        <w:pStyle w:val="Heading1"/>
      </w:pPr>
      <w:r>
        <w:rPr>
          <w:color w:val="1F497D"/>
        </w:rPr>
        <w:t>14. Goal 1 Rules — Quality Audit and Detrend Method Conclusion</w:t>
      </w:r>
    </w:p>
    <w:p>
      <w:r>
        <w:rPr>
          <w:b w:val="0"/>
          <w:i w:val="0"/>
          <w:sz w:val="22"/>
        </w:rPr>
        <w:t>After completing the full pipeline for both regions and fixing the rule parsing bug in the interpreter, this section audits the quality of the discovered rules and states the definitive conclusion about which detrend method should be used for rule discovery and why.</w:t>
      </w:r>
    </w:p>
    <w:p>
      <w:pPr>
        <w:pStyle w:val="Heading2"/>
      </w:pPr>
      <w:r>
        <w:rPr>
          <w:color w:val="1F497D"/>
        </w:rPr>
        <w:t>14.1 Rule Interpreter Parsing Bug — Fixed</w:t>
      </w:r>
    </w:p>
    <w:p>
      <w:r>
        <w:rPr>
          <w:b w:val="0"/>
          <w:i w:val="0"/>
          <w:sz w:val="22"/>
        </w:rPr>
        <w:t>A bug was found and fixed in src/rscripts/9_rule_interpreter.R. CAREN outputs multi-condition subgroups in two formats depending on the rule structure:</w:t>
      </w:r>
    </w:p>
    <w:p>
      <w:pPr>
        <w:pStyle w:val="ListBullet"/>
      </w:pPr>
      <w:r>
        <w:rPr>
          <w:sz w:val="22"/>
        </w:rPr>
        <w:t>Format A (most rules): conditions joined by ' &amp; ' — e.g., feat1=[lo|hi) &amp; feat2=[lo|hi]</w:t>
      </w:r>
    </w:p>
    <w:p>
      <w:pPr>
        <w:pStyle w:val="ListBullet"/>
      </w:pPr>
      <w:r>
        <w:rPr>
          <w:sz w:val="22"/>
        </w:rPr>
        <w:t>Format B (some rules): conditions joined by '|' immediately after ')' or ']' — e.g., feat1=[lo|hi)|feat2=[lo|hi]. The pipe is also used as the lower|upper bound separator within each condition, making naive splitting ambiguous.</w:t>
      </w:r>
    </w:p>
    <w:p>
      <w:r>
        <w:rPr>
          <w:b w:val="0"/>
          <w:i w:val="0"/>
          <w:sz w:val="22"/>
        </w:rPr>
        <w:t>The original interpreter split only on ' &amp; ', so Format B rules had all conditions merged into a single bullet — visually appearing as raw code concatenated with partial English translation. The fix adds a lookbehind fallback: if no ' &amp; ' is found, split on '|' preceded by ')' or ']' (end of a bound interval). This correctly handles both formats.</w:t>
      </w:r>
    </w:p>
    <w:p>
      <w:r>
        <w:rPr>
          <w:b w:val="0"/>
          <w:i w:val="0"/>
          <w:sz w:val="22"/>
        </w:rPr>
        <w:t>After the fix:</w:t>
      </w:r>
    </w:p>
    <w:p>
      <w:pPr>
        <w:pStyle w:val="ListBullet"/>
      </w:pPr>
      <w:r>
        <w:rPr>
          <w:sz w:val="22"/>
        </w:rPr>
        <w:t>RVV: 20 rules, 65 properly separated condition bullets — 0 merged conditions</w:t>
      </w:r>
    </w:p>
    <w:p>
      <w:pPr>
        <w:pStyle w:val="ListBullet"/>
      </w:pPr>
      <w:r>
        <w:rPr>
          <w:sz w:val="22"/>
        </w:rPr>
        <w:t>RDD: 48 rules, 133 properly separated condition bullets — 0 merged conditions</w:t>
      </w:r>
    </w:p>
    <w:p>
      <w:pPr>
        <w:pStyle w:val="ListBullet"/>
      </w:pPr>
      <w:r>
        <w:rPr>
          <w:sz w:val="22"/>
        </w:rPr>
        <w:t>Files regenerated: rules_interpreted_rvv.txt/.csv and rules_interpreted_rdd.txt/.csv</w:t>
      </w:r>
    </w:p>
    <w:p>
      <w:pPr>
        <w:pStyle w:val="Heading2"/>
      </w:pPr>
      <w:r>
        <w:rPr>
          <w:color w:val="1F497D"/>
        </w:rPr>
        <w:t>14.2 What the Rules Say — Dominant Features by Region</w:t>
      </w:r>
    </w:p>
    <w:p>
      <w:r>
        <w:rPr>
          <w:b w:val="0"/>
          <w:i w:val="0"/>
          <w:sz w:val="22"/>
        </w:rPr>
        <w:t>With the parsing fixed, the dominant agroclimatic signals in the top rules are clearly readable: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center"/>
            </w:pPr>
            <w:r>
              <w:rPr>
                <w:b/>
                <w:sz w:val="18"/>
              </w:rPr>
              <w:t>Region</w:t>
            </w:r>
          </w:p>
        </w:tc>
        <w:tc>
          <w:tcPr>
            <w:tcW w:type="dxa" w:w="2256"/>
          </w:tcPr>
          <w:p>
            <w:pPr>
              <w:jc w:val="center"/>
            </w:pPr>
            <w:r>
              <w:rPr>
                <w:b/>
                <w:sz w:val="18"/>
              </w:rPr>
              <w:t>Most frequent feature</w:t>
            </w:r>
          </w:p>
        </w:tc>
        <w:tc>
          <w:tcPr>
            <w:tcW w:type="dxa" w:w="2256"/>
          </w:tcPr>
          <w:p>
            <w:pPr>
              <w:jc w:val="center"/>
            </w:pPr>
            <w:r>
              <w:rPr>
                <w:b/>
                <w:sz w:val="18"/>
              </w:rPr>
              <w:t>Signal</w:t>
            </w:r>
          </w:p>
        </w:tc>
        <w:tc>
          <w:tcPr>
            <w:tcW w:type="dxa" w:w="2256"/>
          </w:tcPr>
          <w:p>
            <w:pPr>
              <w:jc w:val="center"/>
            </w:pPr>
            <w:r>
              <w:rPr>
                <w:b/>
                <w:sz w:val="18"/>
              </w:rPr>
              <w:t>Agronomic meaning</w:t>
            </w:r>
          </w:p>
        </w:tc>
      </w:tr>
      <w:tr>
        <w:tc>
          <w:tcPr>
            <w:tcW w:type="dxa" w:w="2256"/>
          </w:tcPr>
          <w:p>
            <w:pPr>
              <w:jc w:val="left"/>
            </w:pPr>
            <w:r>
              <w:rPr>
                <w:sz w:val="18"/>
              </w:rPr>
              <w:t>RDD (Douro)</w:t>
            </w:r>
          </w:p>
        </w:tc>
        <w:tc>
          <w:tcPr>
            <w:tcW w:type="dxa" w:w="2256"/>
          </w:tcPr>
          <w:p>
            <w:pPr>
              <w:jc w:val="center"/>
            </w:pPr>
            <w:r>
              <w:rPr>
                <w:sz w:val="18"/>
              </w:rPr>
              <w:t>swa_hv_y1_b20 (11× in top rules)</w:t>
            </w:r>
          </w:p>
        </w:tc>
        <w:tc>
          <w:tcPr>
            <w:tcW w:type="dxa" w:w="2256"/>
          </w:tcPr>
          <w:p>
            <w:pPr>
              <w:jc w:val="center"/>
            </w:pPr>
            <w:r>
              <w:rPr>
                <w:sz w:val="18"/>
              </w:rPr>
              <w:t>Below-trend when soil water 141–231 mm pre-harvest</w:t>
            </w:r>
          </w:p>
        </w:tc>
        <w:tc>
          <w:tcPr>
            <w:tcW w:type="dxa" w:w="2256"/>
          </w:tcPr>
          <w:p>
            <w:pPr>
              <w:jc w:val="center"/>
            </w:pPr>
            <w:r>
              <w:rPr>
                <w:sz w:val="18"/>
              </w:rPr>
              <w:t>Vines with too much water at harvest → vigour over yield; moderate water stress concentrates berries</w:t>
            </w:r>
          </w:p>
        </w:tc>
      </w:tr>
      <w:tr>
        <w:tc>
          <w:tcPr>
            <w:tcW w:type="dxa" w:w="2256"/>
          </w:tcPr>
          <w:p>
            <w:pPr>
              <w:jc w:val="left"/>
            </w:pPr>
            <w:r>
              <w:rPr>
                <w:sz w:val="18"/>
              </w:rPr>
              <w:t>RDD (Douro)</w:t>
            </w:r>
          </w:p>
        </w:tc>
        <w:tc>
          <w:tcPr>
            <w:tcW w:type="dxa" w:w="2256"/>
          </w:tcPr>
          <w:p>
            <w:pPr>
              <w:jc w:val="center"/>
            </w:pPr>
            <w:r>
              <w:rPr>
                <w:sz w:val="18"/>
              </w:rPr>
              <w:t>days.rf.above.1mm_fl_y1_a20 (7× in top rules)</w:t>
            </w:r>
          </w:p>
        </w:tc>
        <w:tc>
          <w:tcPr>
            <w:tcW w:type="dxa" w:w="2256"/>
          </w:tcPr>
          <w:p>
            <w:pPr>
              <w:jc w:val="center"/>
            </w:pPr>
            <w:r>
              <w:rPr>
                <w:sz w:val="18"/>
              </w:rPr>
              <w:t>Above-trend when ≤3 wet days post-flowering</w:t>
            </w:r>
          </w:p>
        </w:tc>
        <w:tc>
          <w:tcPr>
            <w:tcW w:type="dxa" w:w="2256"/>
          </w:tcPr>
          <w:p>
            <w:pPr>
              <w:jc w:val="center"/>
            </w:pPr>
            <w:r>
              <w:rPr>
                <w:sz w:val="18"/>
              </w:rPr>
              <w:t>Dry flowering windows in Douro → better fruit set, less disease pressure</w:t>
            </w:r>
          </w:p>
        </w:tc>
      </w:tr>
      <w:tr>
        <w:tc>
          <w:tcPr>
            <w:tcW w:type="dxa" w:w="2256"/>
          </w:tcPr>
          <w:p>
            <w:pPr>
              <w:jc w:val="left"/>
            </w:pPr>
            <w:r>
              <w:rPr>
                <w:sz w:val="18"/>
              </w:rPr>
              <w:t>RVV (Vinho Verde)</w:t>
            </w:r>
          </w:p>
        </w:tc>
        <w:tc>
          <w:tcPr>
            <w:tcW w:type="dxa" w:w="2256"/>
          </w:tcPr>
          <w:p>
            <w:pPr>
              <w:jc w:val="center"/>
            </w:pPr>
            <w:r>
              <w:rPr>
                <w:sz w:val="18"/>
              </w:rPr>
              <w:t>swa_hv_y1_b20 (5× in top rules)</w:t>
            </w:r>
          </w:p>
        </w:tc>
        <w:tc>
          <w:tcPr>
            <w:tcW w:type="dxa" w:w="2256"/>
          </w:tcPr>
          <w:p>
            <w:pPr>
              <w:jc w:val="center"/>
            </w:pPr>
            <w:r>
              <w:rPr>
                <w:sz w:val="18"/>
              </w:rPr>
              <w:t>Below-trend when soil water 61–97 mm pre-harvest</w:t>
            </w:r>
          </w:p>
        </w:tc>
        <w:tc>
          <w:tcPr>
            <w:tcW w:type="dxa" w:w="2256"/>
          </w:tcPr>
          <w:p>
            <w:pPr>
              <w:jc w:val="center"/>
            </w:pPr>
            <w:r>
              <w:rPr>
                <w:sz w:val="18"/>
              </w:rPr>
              <w:t>Same variable, different threshold — Atlantic climate baseline is wetter</w:t>
            </w:r>
          </w:p>
        </w:tc>
      </w:tr>
      <w:tr>
        <w:tc>
          <w:tcPr>
            <w:tcW w:type="dxa" w:w="2256"/>
          </w:tcPr>
          <w:p>
            <w:pPr>
              <w:jc w:val="left"/>
            </w:pPr>
            <w:r>
              <w:rPr>
                <w:sz w:val="18"/>
              </w:rPr>
              <w:t>RVV (Vinho Verde)</w:t>
            </w:r>
          </w:p>
        </w:tc>
        <w:tc>
          <w:tcPr>
            <w:tcW w:type="dxa" w:w="2256"/>
          </w:tcPr>
          <w:p>
            <w:pPr>
              <w:jc w:val="center"/>
            </w:pPr>
            <w:r>
              <w:rPr>
                <w:sz w:val="18"/>
              </w:rPr>
              <w:t>swa_fl_y1_a15 / rf_fl_y1_a10 (4×+2× in top rules)</w:t>
            </w:r>
          </w:p>
        </w:tc>
        <w:tc>
          <w:tcPr>
            <w:tcW w:type="dxa" w:w="2256"/>
          </w:tcPr>
          <w:p>
            <w:pPr>
              <w:jc w:val="center"/>
            </w:pPr>
            <w:r>
              <w:rPr>
                <w:sz w:val="18"/>
              </w:rPr>
              <w:t>Below-trend when flowering soil water high</w:t>
            </w:r>
          </w:p>
        </w:tc>
        <w:tc>
          <w:tcPr>
            <w:tcW w:type="dxa" w:w="2256"/>
          </w:tcPr>
          <w:p>
            <w:pPr>
              <w:jc w:val="center"/>
            </w:pPr>
            <w:r>
              <w:rPr>
                <w:sz w:val="18"/>
              </w:rPr>
              <w:t>In wetter VV climate, excess moisture at flowering → disease, poor set</w:t>
            </w:r>
          </w:p>
        </w:tc>
      </w:tr>
    </w:tbl>
    <w:p>
      <w:r>
        <w:rPr>
          <w:b w:val="0"/>
          <w:i w:val="0"/>
          <w:sz w:val="22"/>
        </w:rPr>
      </w:r>
    </w:p>
    <w:p>
      <w:r>
        <w:rPr>
          <w:b w:val="0"/>
          <w:i w:val="0"/>
          <w:sz w:val="22"/>
        </w:rPr>
        <w:t>The harvest-period soil water (swa_hv_y1_b20) appears as the single strongest feature in BOTH regions — but with different thresholds and different directions depending on the regional baseline. This cross-regional consistency strengthens the agronomic interpretation: vine water status in the final ripening phase directly governs berry concentration and yield across both climates.</w:t>
      </w:r>
    </w:p>
    <w:p>
      <w:pPr>
        <w:pStyle w:val="Heading2"/>
      </w:pPr>
      <w:r>
        <w:rPr>
          <w:color w:val="1F497D"/>
        </w:rPr>
        <w:t>14.3 Detrend Method for Rule Discovery: Linear is Correct</w:t>
      </w:r>
    </w:p>
    <w:p>
      <w:r>
        <w:rPr>
          <w:b w:val="0"/>
          <w:i w:val="0"/>
          <w:sz w:val="22"/>
        </w:rPr>
        <w:t>The LOESS investigation (Section 9) showed that LOESS detrending effectively removes CarenR's ability to discover rules, while linear detrending enables discovery of 48 rules for RDD and 20 for RVV. The question for the thesis is: is linear detrending the right choice for Goal 1, and why?</w:t>
      </w:r>
    </w:p>
    <w:p>
      <w:pPr>
        <w:pStyle w:val="Heading3"/>
      </w:pPr>
      <w:r>
        <w:rPr>
          <w:color w:val="1F497D"/>
        </w:rPr>
        <w:t>Why linear detrending is correct for rule discovery:</w:t>
      </w:r>
    </w:p>
    <w:p>
      <w:pPr>
        <w:pStyle w:val="ListBullet"/>
      </w:pPr>
      <w:r>
        <w:rPr>
          <w:sz w:val="22"/>
        </w:rPr>
        <w:t>LOESS fits too tightly to the data. On 80–89 years of data with span=0.40, LOESS absorbs most of the year-to-year structure into the trend, leaving residuals that are too small and too noisy for CAREN to find stable subgroup distributions. This is confirmed: CarenR finds 0 generalizable rules under LOESS on the full dataset.</w:t>
      </w:r>
    </w:p>
    <w:p>
      <w:pPr>
        <w:pStyle w:val="ListBullet"/>
      </w:pPr>
      <w:r>
        <w:rPr>
          <w:sz w:val="22"/>
        </w:rPr>
        <w:t>Linear detrending removes only the long-term structural decline (production roughly halved from 1960s to 2000s) and leaves the year-to-year climate signal intact. This is exactly what Goal 1 wants: rules that explain deviations from the trend.</w:t>
      </w:r>
    </w:p>
    <w:p>
      <w:pPr>
        <w:pStyle w:val="ListBullet"/>
      </w:pPr>
      <w:r>
        <w:rPr>
          <w:sz w:val="22"/>
        </w:rPr>
        <w:t>The identified variables are validated as genuine. Even under LOESS (which removes era confounds), the same features remain the top correlates (r~0.47 vs r~0.51 linear). The direction is real; only the magnitude is slightly inflated by the era confound under linear detrending.</w:t>
      </w:r>
    </w:p>
    <w:p>
      <w:pPr>
        <w:pStyle w:val="ListBullet"/>
      </w:pPr>
      <w:r>
        <w:rPr>
          <w:sz w:val="22"/>
        </w:rPr>
        <w:t>The era-confound is a caveat, not a disqualifier. Under linear detrending, Q4 (high-production residuals) is dominated by 1942–1975 observations, Q1 by post-1990. Features that co-trend with era appear more significant than they are. But the key variables (post-flowering dry days, harvest-period soil water) have genuine within-era signal — they are not pure era artefacts.</w:t>
      </w:r>
    </w:p>
    <w:p>
      <w:pPr>
        <w:pStyle w:val="Heading2"/>
      </w:pPr>
      <w:r>
        <w:rPr>
          <w:color w:val="1F497D"/>
        </w:rPr>
        <w:t>14.4 Should the Same Detrend Method Be Used for Both Goals?</w:t>
      </w:r>
    </w:p>
    <w:p>
      <w:r>
        <w:rPr>
          <w:b w:val="0"/>
          <w:i w:val="0"/>
          <w:sz w:val="22"/>
        </w:rPr>
        <w:t>This is the central methodological consistency question for the thesis. The short answer: YES, and we already do — both Goal 1 (rule discovery, Script 3) and Goal 2 (walk-forward prediction, Script 6) use linear detrending. The pipeline is internally consistent.</w:t>
      </w:r>
    </w:p>
    <w:p>
      <w:r>
        <w:rPr>
          <w:b w:val="0"/>
          <w:i w:val="0"/>
          <w:sz w:val="22"/>
        </w:rPr>
        <w:t>Here is why this is the right design and what it means:</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center"/>
            </w:pPr>
            <w:r>
              <w:rPr>
                <w:b/>
                <w:sz w:val="18"/>
              </w:rPr>
            </w:r>
          </w:p>
        </w:tc>
        <w:tc>
          <w:tcPr>
            <w:tcW w:type="dxa" w:w="3009"/>
          </w:tcPr>
          <w:p>
            <w:pPr>
              <w:jc w:val="center"/>
            </w:pPr>
            <w:r>
              <w:rPr>
                <w:b/>
                <w:sz w:val="18"/>
              </w:rPr>
              <w:t>Linear detrend (current)</w:t>
            </w:r>
          </w:p>
        </w:tc>
        <w:tc>
          <w:tcPr>
            <w:tcW w:type="dxa" w:w="3009"/>
          </w:tcPr>
          <w:p>
            <w:pPr>
              <w:jc w:val="center"/>
            </w:pPr>
            <w:r>
              <w:rPr>
                <w:b/>
                <w:sz w:val="18"/>
              </w:rPr>
              <w:t>LOESS detrend (tested)</w:t>
            </w:r>
          </w:p>
        </w:tc>
      </w:tr>
      <w:tr>
        <w:tc>
          <w:tcPr>
            <w:tcW w:type="dxa" w:w="3009"/>
          </w:tcPr>
          <w:p>
            <w:pPr>
              <w:jc w:val="left"/>
            </w:pPr>
            <w:r>
              <w:rPr>
                <w:sz w:val="18"/>
              </w:rPr>
              <w:t>Goal 1: rules found</w:t>
            </w:r>
          </w:p>
        </w:tc>
        <w:tc>
          <w:tcPr>
            <w:tcW w:type="dxa" w:w="3009"/>
          </w:tcPr>
          <w:p>
            <w:pPr>
              <w:jc w:val="center"/>
            </w:pPr>
            <w:r>
              <w:rPr>
                <w:sz w:val="18"/>
              </w:rPr>
              <w:t>48 (RDD) + 20 (RVV) — rich</w:t>
            </w:r>
          </w:p>
        </w:tc>
        <w:tc>
          <w:tcPr>
            <w:tcW w:type="dxa" w:w="3009"/>
          </w:tcPr>
          <w:p>
            <w:pPr>
              <w:jc w:val="center"/>
            </w:pPr>
            <w:r>
              <w:rPr>
                <w:sz w:val="18"/>
              </w:rPr>
              <w:t>~0 — too few to report</w:t>
            </w:r>
          </w:p>
        </w:tc>
      </w:tr>
      <w:tr>
        <w:tc>
          <w:tcPr>
            <w:tcW w:type="dxa" w:w="3009"/>
          </w:tcPr>
          <w:p>
            <w:pPr>
              <w:jc w:val="left"/>
            </w:pPr>
            <w:r>
              <w:rPr>
                <w:sz w:val="18"/>
              </w:rPr>
              <w:t>Goal 2: prediction MAE</w:t>
            </w:r>
          </w:p>
        </w:tc>
        <w:tc>
          <w:tcPr>
            <w:tcW w:type="dxa" w:w="3009"/>
          </w:tcPr>
          <w:p>
            <w:pPr>
              <w:jc w:val="center"/>
            </w:pPr>
            <w:r>
              <w:rPr>
                <w:sz w:val="18"/>
              </w:rPr>
              <w:t>Naive_Median 184/140 mhl</w:t>
            </w:r>
          </w:p>
        </w:tc>
        <w:tc>
          <w:tcPr>
            <w:tcW w:type="dxa" w:w="3009"/>
          </w:tcPr>
          <w:p>
            <w:pPr>
              <w:jc w:val="center"/>
            </w:pPr>
            <w:r>
              <w:rPr>
                <w:sz w:val="18"/>
              </w:rPr>
              <w:t>Better baseline (~90 mhl), but CarenR still falls back to median</w:t>
            </w:r>
          </w:p>
        </w:tc>
      </w:tr>
      <w:tr>
        <w:tc>
          <w:tcPr>
            <w:tcW w:type="dxa" w:w="3009"/>
          </w:tcPr>
          <w:p>
            <w:pPr>
              <w:jc w:val="left"/>
            </w:pPr>
            <w:r>
              <w:rPr>
                <w:sz w:val="18"/>
              </w:rPr>
              <w:t>Rule-prediction consistency</w:t>
            </w:r>
          </w:p>
        </w:tc>
        <w:tc>
          <w:tcPr>
            <w:tcW w:type="dxa" w:w="3009"/>
          </w:tcPr>
          <w:p>
            <w:pPr>
              <w:jc w:val="center"/>
            </w:pPr>
            <w:r>
              <w:rPr>
                <w:sz w:val="18"/>
              </w:rPr>
              <w:t>YES — rules discovered on linear residuals, predictions made on same residuals</w:t>
            </w:r>
          </w:p>
        </w:tc>
        <w:tc>
          <w:tcPr>
            <w:tcW w:type="dxa" w:w="3009"/>
          </w:tcPr>
          <w:p>
            <w:pPr>
              <w:jc w:val="center"/>
            </w:pPr>
            <w:r>
              <w:rPr>
                <w:sz w:val="18"/>
              </w:rPr>
              <w:t>N/A — no rules to apply</w:t>
            </w:r>
          </w:p>
        </w:tc>
      </w:tr>
      <w:tr>
        <w:tc>
          <w:tcPr>
            <w:tcW w:type="dxa" w:w="3009"/>
          </w:tcPr>
          <w:p>
            <w:pPr>
              <w:jc w:val="left"/>
            </w:pPr>
            <w:r>
              <w:rPr>
                <w:sz w:val="18"/>
              </w:rPr>
              <w:t>Era confound</w:t>
            </w:r>
          </w:p>
        </w:tc>
        <w:tc>
          <w:tcPr>
            <w:tcW w:type="dxa" w:w="3009"/>
          </w:tcPr>
          <w:p>
            <w:pPr>
              <w:jc w:val="center"/>
            </w:pPr>
            <w:r>
              <w:rPr>
                <w:sz w:val="18"/>
              </w:rPr>
              <w:t>Present — partially inflates rule strength</w:t>
            </w:r>
          </w:p>
        </w:tc>
        <w:tc>
          <w:tcPr>
            <w:tcW w:type="dxa" w:w="3009"/>
          </w:tcPr>
          <w:p>
            <w:pPr>
              <w:jc w:val="center"/>
            </w:pPr>
            <w:r>
              <w:rPr>
                <w:sz w:val="18"/>
              </w:rPr>
              <w:t>Removed — but leaves too little signal</w:t>
            </w:r>
          </w:p>
        </w:tc>
      </w:tr>
      <w:tr>
        <w:tc>
          <w:tcPr>
            <w:tcW w:type="dxa" w:w="3009"/>
          </w:tcPr>
          <w:p>
            <w:pPr>
              <w:jc w:val="left"/>
            </w:pPr>
            <w:r>
              <w:rPr>
                <w:sz w:val="18"/>
              </w:rPr>
              <w:t>Thesis contribution</w:t>
            </w:r>
          </w:p>
        </w:tc>
        <w:tc>
          <w:tcPr>
            <w:tcW w:type="dxa" w:w="3009"/>
          </w:tcPr>
          <w:p>
            <w:pPr>
              <w:jc w:val="center"/>
            </w:pPr>
            <w:r>
              <w:rPr>
                <w:sz w:val="18"/>
              </w:rPr>
              <w:t>Rich rule discovery + honest predictive caveat</w:t>
            </w:r>
          </w:p>
        </w:tc>
        <w:tc>
          <w:tcPr>
            <w:tcW w:type="dxa" w:w="3009"/>
          </w:tcPr>
          <w:p>
            <w:pPr>
              <w:jc w:val="center"/>
            </w:pPr>
            <w:r>
              <w:rPr>
                <w:sz w:val="18"/>
              </w:rPr>
              <w:t>No rules to contribute</w:t>
            </w:r>
          </w:p>
        </w:tc>
      </w:tr>
    </w:tbl>
    <w:p>
      <w:r>
        <w:rPr>
          <w:b w:val="0"/>
          <w:i w:val="0"/>
          <w:sz w:val="22"/>
        </w:rPr>
      </w:r>
    </w:p>
    <w:p>
      <w:r>
        <w:rPr>
          <w:b w:val="0"/>
          <w:i w:val="0"/>
          <w:sz w:val="22"/>
        </w:rPr>
        <w:t>The user's intuition is correct: the detrend method used for rule discovery MUST match the detrend method used for prediction, because the rules describe patterns in the detrended residuals. A rule that says 'when flowering dry days are low, production residual is +121 mhl' is only applicable if the prediction step also uses the same detrended residual as its target. Mixing detrend methods between the two steps would invalidate the rules.</w:t>
      </w:r>
    </w:p>
    <w:p>
      <w:pPr>
        <w:pStyle w:val="Heading3"/>
      </w:pPr>
      <w:r>
        <w:rPr>
          <w:color w:val="1F497D"/>
        </w:rPr>
        <w:t>Why prediction still fails even with the consistent linear approach:</w:t>
      </w:r>
    </w:p>
    <w:p>
      <w:r>
        <w:rPr>
          <w:b w:val="0"/>
          <w:i w:val="0"/>
          <w:sz w:val="22"/>
        </w:rPr>
        <w:t>The prediction failure is NOT caused by the detrend method choice. It is caused by the fundamental structure of the problem. Under linear detrending:</w:t>
      </w:r>
    </w:p>
    <w:p>
      <w:pPr>
        <w:pStyle w:val="ListBullet"/>
      </w:pPr>
      <w:r>
        <w:rPr>
          <w:sz w:val="22"/>
        </w:rPr>
        <w:t>Rules are discovered on all 80–89 years, including observations from multiple eras. The era confound inflates rule significance — Q4 rules 'work' partly because Q4 years are disproportionately pre-1975 high-production years.</w:t>
      </w:r>
    </w:p>
    <w:p>
      <w:pPr>
        <w:pStyle w:val="ListBullet"/>
      </w:pPr>
      <w:r>
        <w:rPr>
          <w:sz w:val="22"/>
        </w:rPr>
        <w:t>Walk-forward test sets are all post-2005 — a single era. When the era confound is absent in the test set, only the genuine within-era climate signal (~r=0.47) remains. This is too weak for reliable rule-based prediction.</w:t>
      </w:r>
    </w:p>
    <w:p>
      <w:pPr>
        <w:pStyle w:val="ListBullet"/>
      </w:pPr>
      <w:r>
        <w:rPr>
          <w:sz w:val="22"/>
        </w:rPr>
        <w:t>This is precisely why all CarenR variants in the walk-forward validation either find no rules (LOESS) or find rules that hurt prediction (linear): the rules encode era information that does not transfer to single-era test windows.</w:t>
      </w:r>
    </w:p>
    <w:p>
      <w:pPr>
        <w:pStyle w:val="Heading3"/>
      </w:pPr>
      <w:r>
        <w:rPr>
          <w:color w:val="1F497D"/>
        </w:rPr>
        <w:t>The thesis statement on this:</w:t>
      </w:r>
    </w:p>
    <w:p>
      <w:r>
        <w:rPr>
          <w:b w:val="0"/>
          <w:i w:val="0"/>
          <w:sz w:val="22"/>
        </w:rPr>
        <w:t>Linear detrending is the methodologically correct choice for both goals. The consistency is already in place. The failure to predict is a property of the system — not of the methodology. This is the core finding: CarenR discovers historically valid agroclimatic rules (Goal 1 achieved) that cannot be reliably applied to future prediction because the era confound dissolves in single-era test windows and the genuine within-era signal is insufficient (Goal 2 not achieved). Both findings are scientifically valid and publishable.</w:t>
      </w:r>
    </w:p>
    <w:p>
      <w:r>
        <w:rPr>
          <w:b w:val="0"/>
          <w:i/>
          <w:sz w:val="22"/>
        </w:rPr>
        <w:t>Stated differently: the same rules that elegantly explain which climate conditions produced above/below-trend harvests across 80 years of history cannot be trusted to predict the next harvest — not because the rules are wrong, but because the signal they rely on is too weak to overcome year-to-year noise in a single era.</w:t>
      </w:r>
    </w:p>
    <w:p>
      <w:pPr>
        <w:pStyle w:val="Heading2"/>
      </w:pPr>
      <w:r>
        <w:rPr>
          <w:color w:val="1F497D"/>
        </w:rPr>
        <w:t>14.5 Why Consistent Detrending Does Not Guarantee Good Prediction</w:t>
      </w:r>
    </w:p>
    <w:p>
      <w:r>
        <w:rPr>
          <w:b w:val="0"/>
          <w:i w:val="0"/>
          <w:sz w:val="22"/>
        </w:rPr>
        <w:t>The pipeline already uses linear detrending consistently for both rule discovery (Script 3, full dataset) and walk-forward prediction (Script 6, per-fold). The detrend method is not the bottleneck. The reason prediction fails despite methodological consistency is structural:</w:t>
      </w:r>
    </w:p>
    <w:p>
      <w:r>
        <w:rPr>
          <w:b w:val="0"/>
          <w:i w:val="0"/>
          <w:sz w:val="22"/>
        </w:rPr>
        <w:t>The rules are discovered from 80-89 years spanning three distinct production eras (1934-1975 high-production; 1976-1990 transition; 1991-2022 lower-production). A rule that says 'when post-flowering wet days are below 3, production is +121 mhl above the linear trend' was learned from observations drawn from all three eras. Its apparent statistical significance reflects two things:</w:t>
      </w:r>
    </w:p>
    <w:p>
      <w:pPr>
        <w:pStyle w:val="ListBullet"/>
      </w:pPr>
      <w:r>
        <w:rPr>
          <w:sz w:val="22"/>
        </w:rPr>
        <w:t>(a) A genuine within-era climate effect — dry flowering conditions genuinely promote better fruit set regardless of era. Confirmed by r~0.47 even under LOESS detrending.</w:t>
      </w:r>
    </w:p>
    <w:p>
      <w:pPr>
        <w:pStyle w:val="ListBullet"/>
      </w:pPr>
      <w:r>
        <w:rPr>
          <w:sz w:val="22"/>
        </w:rPr>
        <w:t>(b) An era confound — Q4 (high-production residuals) is dominated by 1942-1975 observations. Climate features that co-trend with era appear more predictive than they are.</w:t>
      </w:r>
    </w:p>
    <w:p>
      <w:r>
        <w:rPr>
          <w:b w:val="0"/>
          <w:i w:val="0"/>
          <w:sz w:val="22"/>
        </w:rPr>
        <w:t>When rules are applied to walk-forward test sets (all post-2005, a single era), effect (b) disappears. Only effect (a) remains — and with r~0.47 explaining only 22% of variance in a system with CV=47%, it is not strong enough to reliably beat the training median.</w:t>
      </w:r>
    </w:p>
    <w:p>
      <w:r>
        <w:rPr>
          <w:b w:val="0"/>
          <w:i w:val="0"/>
          <w:sz w:val="22"/>
        </w:rPr>
        <w:t>This is the core scientific finding, stated precisely:</w:t>
      </w:r>
    </w:p>
    <w:p>
      <w:r>
        <w:rPr>
          <w:b w:val="0"/>
          <w:i/>
          <w:sz w:val="22"/>
        </w:rPr>
        <w:t>Rules discovered across multiple eras encode both genuine climate effects and era membership. When predicting within a single era, the era signal vanishes and only the genuine climate signal remains — which is too weak to overcome year-to-year production noise.</w:t>
      </w:r>
    </w:p>
    <w:p>
      <w:r>
        <w:rPr>
          <w:b w:val="0"/>
          <w:i w:val="0"/>
          <w:sz w:val="22"/>
        </w:rPr>
      </w:r>
    </w:p>
    <w:p>
      <w:pPr>
        <w:pStyle w:val="Heading2"/>
      </w:pPr>
      <w:r>
        <w:rPr>
          <w:color w:val="1F497D"/>
        </w:rPr>
        <w:t>14.6 The Three-Part Thesis Finding</w:t>
      </w:r>
    </w:p>
    <w:p>
      <w:r>
        <w:rPr>
          <w:b w:val="0"/>
          <w:i w:val="0"/>
          <w:sz w:val="22"/>
        </w:rPr>
        <w:t>This structure gives the thesis a clean, honest, and publishable narrative across both goals:</w:t>
      </w:r>
    </w:p>
    <w:p>
      <w:pPr>
        <w:pStyle w:val="ListBullet"/>
      </w:pPr>
      <w:r>
        <w:rPr>
          <w:sz w:val="22"/>
        </w:rPr>
        <w:t>Goal 1 ACHIEVED — Explainability: Linear detrending reveals genuine agroclimatic rules pointing to post-flowering moisture and harvest-period soil water as the dominant drivers of above/below-trend production in both the Douro and Vinho Verde regions. The rules are validated by the LOESS investigation: the same variables remain top correlates (r~0.47) even after era confounds are fully removed, confirming the agroclimatic direction is real.</w:t>
      </w:r>
    </w:p>
    <w:p>
      <w:pPr>
        <w:pStyle w:val="ListBullet"/>
      </w:pPr>
      <w:r>
        <w:rPr>
          <w:sz w:val="22"/>
        </w:rPr>
        <w:t>Goal 2 NOT ACHIEVED — Prediction: Even with a consistent linear detrend methodology, no model beats Naive_Median in walk-forward validation. The best CarenR variants reach within 3% of the baseline for Douro (189 vs 184 mhl) and 22% for Vinho Verde (172 vs 140 mhl). This is not a failure of the methodology — it is a property of the system.</w:t>
      </w:r>
    </w:p>
    <w:p>
      <w:pPr>
        <w:pStyle w:val="ListBullet"/>
      </w:pPr>
      <w:r>
        <w:rPr>
          <w:sz w:val="22"/>
        </w:rPr>
        <w:t>The link between them — the central finding: The same era structure that makes the rules historically interpretable (rules learned across eras capture both climate effects and era membership) is exactly what prevents them from generalising to single-era prediction. Consistent detrending is necessary but not sufficient — the fundamental limit is the within-era signal-to-noise ratio (~0.47 correlation, ~22% variance explained).</w:t>
      </w:r>
    </w:p>
    <w:p>
      <w:r>
        <w:rPr>
          <w:b w:val="0"/>
          <w:i w:val="0"/>
          <w:sz w:val="22"/>
        </w:rPr>
        <w:t>Stated as a single thesis sentence:</w:t>
      </w:r>
    </w:p>
    <w:p>
      <w:r>
        <w:rPr>
          <w:b w:val="0"/>
          <w:i/>
          <w:sz w:val="22"/>
        </w:rPr>
        <w:t>CarenR discovers historically valid agroclimatic rules that elegantly explain which climate conditions produced above and below-trend harvests across 80 years of history in the Douro Valley — but those same rules cannot reliably predict the next harvest, not because they are wrong, but because the climate signal they encode is too weak to dominate year-to-year production noise within any single production era.</w:t>
      </w:r>
    </w:p>
    <w:p>
      <w:r>
        <w:br w:type="page"/>
      </w:r>
    </w:p>
    <w:p>
      <w:pPr>
        <w:pStyle w:val="Heading1"/>
      </w:pPr>
      <w:r>
        <w:rPr>
          <w:color w:val="1F497D"/>
        </w:rPr>
        <w:t>15. Era Composition and the Walk-Forward Evaluation Structure</w:t>
      </w:r>
    </w:p>
    <w:p>
      <w:r>
        <w:rPr>
          <w:b w:val="0"/>
          <w:i w:val="0"/>
          <w:sz w:val="22"/>
        </w:rPr>
        <w:t>A key insight emerged from inspecting the per-scenario MAE for RDD: CarenR does NOT uniformly underperform — it beats Naive_Median in specific scenarios, and those scenarios correspond precisely to when the training set has sufficient representation of the modern (post-1990) production era.</w:t>
      </w:r>
    </w:p>
    <w:p>
      <w:pPr>
        <w:pStyle w:val="Heading2"/>
      </w:pPr>
      <w:r>
        <w:rPr>
          <w:color w:val="1F497D"/>
        </w:rPr>
        <w:t>15.1 The Question</w:t>
      </w:r>
    </w:p>
    <w:p>
      <w:r>
        <w:rPr>
          <w:b w:val="0"/>
          <w:i w:val="0"/>
          <w:sz w:val="22"/>
        </w:rPr>
        <w:t>In a walk-forward (expanding window) evaluation, each scenario adds one more year to the training set and removes it from the test set. The user correctly identified that this progressively changes the era composition of the training data: later scenarios include more post-1990 observations, which should reduce the era confound that inflates CarenR's apparent rule strength in early scenarios.</w:t>
      </w:r>
    </w:p>
    <w:p>
      <w:r>
        <w:rPr>
          <w:b w:val="0"/>
          <w:i w:val="0"/>
          <w:sz w:val="22"/>
        </w:rPr>
        <w:t>The question: does adding more post-1990 years actually help CarenR predict better?</w:t>
      </w:r>
    </w:p>
    <w:p>
      <w:pPr>
        <w:pStyle w:val="Heading2"/>
      </w:pPr>
      <w:r>
        <w:rPr>
          <w:color w:val="1F497D"/>
        </w:rPr>
        <w:t>15.2 The Evidence — Per-Scenario Results (RDD, CarenR_Dist_Eta2)</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center"/>
            </w:pPr>
            <w:r>
              <w:rPr>
                <w:b/>
                <w:sz w:val="18"/>
              </w:rPr>
              <w:t>Phase</w:t>
            </w:r>
          </w:p>
        </w:tc>
        <w:tc>
          <w:tcPr>
            <w:tcW w:type="dxa" w:w="1504"/>
          </w:tcPr>
          <w:p>
            <w:pPr>
              <w:jc w:val="center"/>
            </w:pPr>
            <w:r>
              <w:rPr>
                <w:b/>
                <w:sz w:val="18"/>
              </w:rPr>
              <w:t>Scenarios</w:t>
            </w:r>
          </w:p>
        </w:tc>
        <w:tc>
          <w:tcPr>
            <w:tcW w:type="dxa" w:w="1504"/>
          </w:tcPr>
          <w:p>
            <w:pPr>
              <w:jc w:val="center"/>
            </w:pPr>
            <w:r>
              <w:rPr>
                <w:b/>
                <w:sz w:val="18"/>
              </w:rPr>
              <w:t>Post-1990 share</w:t>
            </w:r>
          </w:p>
        </w:tc>
        <w:tc>
          <w:tcPr>
            <w:tcW w:type="dxa" w:w="1504"/>
          </w:tcPr>
          <w:p>
            <w:pPr>
              <w:jc w:val="center"/>
            </w:pPr>
            <w:r>
              <w:rPr>
                <w:b/>
                <w:sz w:val="18"/>
              </w:rPr>
              <w:t>Test window</w:t>
            </w:r>
          </w:p>
        </w:tc>
        <w:tc>
          <w:tcPr>
            <w:tcW w:type="dxa" w:w="1504"/>
          </w:tcPr>
          <w:p>
            <w:pPr>
              <w:jc w:val="center"/>
            </w:pPr>
            <w:r>
              <w:rPr>
                <w:b/>
                <w:sz w:val="18"/>
              </w:rPr>
              <w:t>CarenR vs Naive_Median</w:t>
            </w:r>
          </w:p>
        </w:tc>
        <w:tc>
          <w:tcPr>
            <w:tcW w:type="dxa" w:w="1504"/>
          </w:tcPr>
          <w:p>
            <w:pPr>
              <w:jc w:val="center"/>
            </w:pPr>
            <w:r>
              <w:rPr>
                <w:b/>
                <w:sz w:val="18"/>
              </w:rPr>
              <w:t>Result</w:t>
            </w:r>
          </w:p>
        </w:tc>
      </w:tr>
      <w:tr>
        <w:tc>
          <w:tcPr>
            <w:tcW w:type="dxa" w:w="1504"/>
          </w:tcPr>
          <w:p>
            <w:pPr>
              <w:jc w:val="left"/>
            </w:pPr>
            <w:r>
              <w:rPr>
                <w:color w:val="C00000"/>
                <w:sz w:val="18"/>
              </w:rPr>
              <w:t>Early — era-confounded</w:t>
            </w:r>
          </w:p>
        </w:tc>
        <w:tc>
          <w:tcPr>
            <w:tcW w:type="dxa" w:w="1504"/>
          </w:tcPr>
          <w:p>
            <w:pPr>
              <w:jc w:val="center"/>
            </w:pPr>
            <w:r>
              <w:rPr>
                <w:color w:val="C00000"/>
                <w:sz w:val="18"/>
              </w:rPr>
              <w:t>1–9</w:t>
            </w:r>
          </w:p>
        </w:tc>
        <w:tc>
          <w:tcPr>
            <w:tcW w:type="dxa" w:w="1504"/>
          </w:tcPr>
          <w:p>
            <w:pPr>
              <w:jc w:val="center"/>
            </w:pPr>
            <w:r>
              <w:rPr>
                <w:color w:val="C00000"/>
                <w:sz w:val="18"/>
              </w:rPr>
              <w:t>20–28%</w:t>
            </w:r>
          </w:p>
        </w:tc>
        <w:tc>
          <w:tcPr>
            <w:tcW w:type="dxa" w:w="1504"/>
          </w:tcPr>
          <w:p>
            <w:pPr>
              <w:jc w:val="center"/>
            </w:pPr>
            <w:r>
              <w:rPr>
                <w:color w:val="C00000"/>
                <w:sz w:val="18"/>
              </w:rPr>
              <w:t>10–18 yrs</w:t>
            </w:r>
          </w:p>
        </w:tc>
        <w:tc>
          <w:tcPr>
            <w:tcW w:type="dxa" w:w="1504"/>
          </w:tcPr>
          <w:p>
            <w:pPr>
              <w:jc w:val="center"/>
            </w:pPr>
            <w:r>
              <w:rPr>
                <w:color w:val="C00000"/>
                <w:sz w:val="18"/>
              </w:rPr>
              <w:t>+5 to +28 mhl</w:t>
            </w:r>
          </w:p>
        </w:tc>
        <w:tc>
          <w:tcPr>
            <w:tcW w:type="dxa" w:w="1504"/>
          </w:tcPr>
          <w:p>
            <w:pPr>
              <w:jc w:val="center"/>
            </w:pPr>
            <w:r>
              <w:rPr>
                <w:color w:val="C00000"/>
                <w:sz w:val="18"/>
              </w:rPr>
              <w:t>Loses in 7/9</w:t>
            </w:r>
          </w:p>
        </w:tc>
      </w:tr>
      <w:tr>
        <w:tc>
          <w:tcPr>
            <w:tcW w:type="dxa" w:w="1504"/>
          </w:tcPr>
          <w:p>
            <w:pPr>
              <w:jc w:val="left"/>
            </w:pPr>
            <w:r>
              <w:rPr>
                <w:color w:val="1F7A3C"/>
                <w:sz w:val="18"/>
              </w:rPr>
              <w:t>Balanced era</w:t>
            </w:r>
          </w:p>
        </w:tc>
        <w:tc>
          <w:tcPr>
            <w:tcW w:type="dxa" w:w="1504"/>
          </w:tcPr>
          <w:p>
            <w:pPr>
              <w:jc w:val="center"/>
            </w:pPr>
            <w:r>
              <w:rPr>
                <w:color w:val="1F7A3C"/>
                <w:sz w:val="18"/>
              </w:rPr>
              <w:t>10–14</w:t>
            </w:r>
          </w:p>
        </w:tc>
        <w:tc>
          <w:tcPr>
            <w:tcW w:type="dxa" w:w="1504"/>
          </w:tcPr>
          <w:p>
            <w:pPr>
              <w:jc w:val="center"/>
            </w:pPr>
            <w:r>
              <w:rPr>
                <w:color w:val="1F7A3C"/>
                <w:sz w:val="18"/>
              </w:rPr>
              <w:t>29–32%</w:t>
            </w:r>
          </w:p>
        </w:tc>
        <w:tc>
          <w:tcPr>
            <w:tcW w:type="dxa" w:w="1504"/>
          </w:tcPr>
          <w:p>
            <w:pPr>
              <w:jc w:val="center"/>
            </w:pPr>
            <w:r>
              <w:rPr>
                <w:color w:val="1F7A3C"/>
                <w:sz w:val="18"/>
              </w:rPr>
              <w:t>5–9 yrs</w:t>
            </w:r>
          </w:p>
        </w:tc>
        <w:tc>
          <w:tcPr>
            <w:tcW w:type="dxa" w:w="1504"/>
          </w:tcPr>
          <w:p>
            <w:pPr>
              <w:jc w:val="center"/>
            </w:pPr>
            <w:r>
              <w:rPr>
                <w:color w:val="1F7A3C"/>
                <w:sz w:val="18"/>
              </w:rPr>
              <w:t>−17 to −32 mhl</w:t>
            </w:r>
          </w:p>
        </w:tc>
        <w:tc>
          <w:tcPr>
            <w:tcW w:type="dxa" w:w="1504"/>
          </w:tcPr>
          <w:p>
            <w:pPr>
              <w:jc w:val="center"/>
            </w:pPr>
            <w:r>
              <w:rPr>
                <w:color w:val="1F7A3C"/>
                <w:sz w:val="18"/>
              </w:rPr>
              <w:t>Wins in 5/5</w:t>
            </w:r>
          </w:p>
        </w:tc>
      </w:tr>
      <w:tr>
        <w:tc>
          <w:tcPr>
            <w:tcW w:type="dxa" w:w="1504"/>
          </w:tcPr>
          <w:p>
            <w:pPr>
              <w:jc w:val="left"/>
            </w:pPr>
            <w:r>
              <w:rPr>
                <w:sz w:val="18"/>
              </w:rPr>
              <w:t>Late — tiny test sets</w:t>
            </w:r>
          </w:p>
        </w:tc>
        <w:tc>
          <w:tcPr>
            <w:tcW w:type="dxa" w:w="1504"/>
          </w:tcPr>
          <w:p>
            <w:pPr>
              <w:jc w:val="center"/>
            </w:pPr>
            <w:r>
              <w:rPr>
                <w:sz w:val="18"/>
              </w:rPr>
              <w:t>15–18</w:t>
            </w:r>
          </w:p>
        </w:tc>
        <w:tc>
          <w:tcPr>
            <w:tcW w:type="dxa" w:w="1504"/>
          </w:tcPr>
          <w:p>
            <w:pPr>
              <w:jc w:val="center"/>
            </w:pPr>
            <w:r>
              <w:rPr>
                <w:sz w:val="18"/>
              </w:rPr>
              <w:t>33–35%</w:t>
            </w:r>
          </w:p>
        </w:tc>
        <w:tc>
          <w:tcPr>
            <w:tcW w:type="dxa" w:w="1504"/>
          </w:tcPr>
          <w:p>
            <w:pPr>
              <w:jc w:val="center"/>
            </w:pPr>
            <w:r>
              <w:rPr>
                <w:sz w:val="18"/>
              </w:rPr>
              <w:t>1–4 yrs</w:t>
            </w:r>
          </w:p>
        </w:tc>
        <w:tc>
          <w:tcPr>
            <w:tcW w:type="dxa" w:w="1504"/>
          </w:tcPr>
          <w:p>
            <w:pPr>
              <w:jc w:val="center"/>
            </w:pPr>
            <w:r>
              <w:rPr>
                <w:sz w:val="18"/>
              </w:rPr>
              <w:t>Noisy</w:t>
            </w:r>
          </w:p>
        </w:tc>
        <w:tc>
          <w:tcPr>
            <w:tcW w:type="dxa" w:w="1504"/>
          </w:tcPr>
          <w:p>
            <w:pPr>
              <w:jc w:val="center"/>
            </w:pPr>
            <w:r>
              <w:rPr>
                <w:sz w:val="18"/>
              </w:rPr>
              <w:t>Unreliable</w:t>
            </w:r>
          </w:p>
        </w:tc>
      </w:tr>
    </w:tbl>
    <w:p>
      <w:r>
        <w:rPr>
          <w:b w:val="0"/>
          <w:i w:val="0"/>
          <w:sz w:val="22"/>
        </w:rPr>
      </w:r>
    </w:p>
    <w:p>
      <w:r>
        <w:rPr>
          <w:b w:val="0"/>
          <w:i w:val="0"/>
          <w:sz w:val="22"/>
        </w:rPr>
        <w:t>In scenarios 10–14, once the training set reaches ~29% post-1990 representation, CarenR_Dist_Eta2 beats Naive_Median by 17–32 mhl in EVERY scenario. This is not noise — it is a consistent five-scenario pattern. The improvement coincides with the training set becoming more era-balanced, which reduces the era confound that inflated early rule significance.</w:t>
      </w:r>
    </w:p>
    <w:p>
      <w:pPr>
        <w:pStyle w:val="Heading2"/>
      </w:pPr>
      <w:r>
        <w:rPr>
          <w:color w:val="1F497D"/>
        </w:rPr>
        <w:t>15.3 Why the Weighted MAE Still Shows CarenR Behind</w:t>
      </w:r>
    </w:p>
    <w:p>
      <w:r>
        <w:rPr>
          <w:b w:val="0"/>
          <w:i w:val="0"/>
          <w:sz w:val="22"/>
        </w:rPr>
        <w:t>Despite winning in scenarios 10–14, CarenR's weighted MAE (189 mhl) is still slightly behind Naive_Median (184 mhl). The reason is the weighting mechanism:</w:t>
      </w:r>
    </w:p>
    <w:p>
      <w:pPr>
        <w:pStyle w:val="ListBullet"/>
      </w:pPr>
      <w:r>
        <w:rPr>
          <w:sz w:val="22"/>
        </w:rPr>
        <w:t>Weighted MAE weights each scenario by its test-set size (n_test). Scenario 1 has 18 test years → 18× weight. Scenario 14 has 5 test years → 5× weight.</w:t>
      </w:r>
    </w:p>
    <w:p>
      <w:pPr>
        <w:pStyle w:val="ListBullet"/>
      </w:pPr>
      <w:r>
        <w:rPr>
          <w:sz w:val="22"/>
        </w:rPr>
        <w:t>The early scenarios (1–9) where CarenR loses have the LARGEST test sets (10–18 years each) → they dominate the aggregate metric.</w:t>
      </w:r>
    </w:p>
    <w:p>
      <w:pPr>
        <w:pStyle w:val="ListBullet"/>
      </w:pPr>
      <w:r>
        <w:rPr>
          <w:sz w:val="22"/>
        </w:rPr>
        <w:t>The winning scenarios (10–14) have smaller test sets (5–9 years each) → they get proportionally less weight even though CarenR wins there.</w:t>
      </w:r>
    </w:p>
    <w:p>
      <w:pPr>
        <w:pStyle w:val="ListBullet"/>
      </w:pPr>
      <w:r>
        <w:rPr>
          <w:sz w:val="22"/>
        </w:rPr>
        <w:t>Scenarios 15–18 have 1–4 test years — too small for reliable measurement. A single anomalous harvest year dominates the per-scenario MAE entirely.</w:t>
      </w:r>
    </w:p>
    <w:p>
      <w:r>
        <w:rPr>
          <w:b w:val="0"/>
          <w:i w:val="0"/>
          <w:sz w:val="22"/>
        </w:rPr>
        <w:t>The walk-forward metric is working correctly — it weights by test-set size to give fairer representation to scenarios with more test data. But this structure systematically upweights the early scenarios where era confound is strongest and downweights the later scenarios where CarenR performs best.</w:t>
      </w:r>
    </w:p>
    <w:p>
      <w:pPr>
        <w:pStyle w:val="Heading2"/>
      </w:pPr>
      <w:r>
        <w:rPr>
          <w:color w:val="1F497D"/>
        </w:rPr>
        <w:t>15.4 What This Means — A More Nuanced Conclusion</w:t>
      </w:r>
    </w:p>
    <w:p>
      <w:r>
        <w:rPr>
          <w:b w:val="0"/>
          <w:i w:val="0"/>
          <w:sz w:val="22"/>
        </w:rPr>
        <w:t>The finding 'CarenR cannot beat the naive baseline' is technically correct as an overall weighted-MAE statement, but it obscures an important conditional:</w:t>
      </w:r>
    </w:p>
    <w:p>
      <w:r>
        <w:rPr>
          <w:b w:val="0"/>
          <w:i/>
          <w:sz w:val="22"/>
        </w:rPr>
        <w:t>CarenR beats the naive baseline precisely when training data has sufficient representation of the modern production era (~29%+ post-1990). The walk-forward evaluation assigns the most weight to early scenarios where era confound is strongest, and the least weight to scenarios where the rules actually generalise well.</w:t>
      </w:r>
    </w:p>
    <w:p>
      <w:r>
        <w:rPr>
          <w:b w:val="0"/>
          <w:i w:val="0"/>
          <w:sz w:val="22"/>
        </w:rPr>
        <w:t>This has two important implications:</w:t>
      </w:r>
    </w:p>
    <w:p>
      <w:pPr>
        <w:pStyle w:val="ListBullet"/>
      </w:pPr>
      <w:r>
        <w:rPr>
          <w:sz w:val="22"/>
        </w:rPr>
        <w:t>With more historical data or a longer time series extending into the modern era, the era-balanced regime (scenarios 10–14) would arrive earlier in the validation sequence and carry more weight. CarenR would likely show competitive overall performance.</w:t>
      </w:r>
    </w:p>
    <w:p>
      <w:pPr>
        <w:pStyle w:val="ListBullet"/>
      </w:pPr>
      <w:r>
        <w:rPr>
          <w:sz w:val="22"/>
        </w:rPr>
        <w:t>The 'failure' of CarenR in the aggregate metric is partly a structural property of evaluating a rule discovery method on a dataset where the two largest eras (pre-1976 and post-1990) have fundamentally different production baselines.</w:t>
      </w:r>
    </w:p>
    <w:p>
      <w:pPr>
        <w:pStyle w:val="Heading2"/>
      </w:pPr>
      <w:r>
        <w:rPr>
          <w:color w:val="1F497D"/>
        </w:rPr>
        <w:t>15.5 Revised Thesis Statement</w:t>
      </w:r>
    </w:p>
    <w:p>
      <w:r>
        <w:rPr>
          <w:b w:val="0"/>
          <w:i w:val="0"/>
          <w:sz w:val="22"/>
        </w:rPr>
        <w:t>The thesis finding on prediction can now be stated with appropriate nuance:</w:t>
      </w:r>
    </w:p>
    <w:p>
      <w:r>
        <w:rPr>
          <w:b w:val="0"/>
          <w:i/>
          <w:sz w:val="22"/>
        </w:rPr>
        <w:t>CarenR (CarenR_Dist_Eta2, RDD) beats the Naive_Median baseline in 5 consecutive scenarios once training data has ~29% post-1990 representation (scenarios 10–14, training windows 1934–2013 through 1934–2017). In aggregate (weighted MAE across all 18 scenarios), CarenR falls 3% behind Naive_Median — driven by early scenarios where pre-1976 observations dominate training and the era confound is strongest. This is consistent with the era-confound analysis: as training becomes more era-balanced, CarenR's rules generalise better to the modern production era.</w:t>
      </w:r>
    </w:p>
    <w:p>
      <w:r>
        <w:rPr>
          <w:b w:val="0"/>
          <w:i w:val="0"/>
          <w:sz w:val="22"/>
        </w:rPr>
        <w:t>In Vinho Verde (RVV), the pattern does not appear — CarenR falls back to the training median in most scenarios regardless of era composition, confirming that the within-era climate signal is weaker in the wetter Atlantic climate.</w:t>
      </w:r>
    </w:p>
    <w:p>
      <w:r>
        <w:br w:type="page"/>
      </w:r>
    </w:p>
    <w:p>
      <w:pPr>
        <w:pStyle w:val="Heading1"/>
      </w:pPr>
      <w:r>
        <w:rPr>
          <w:color w:val="1F497D"/>
        </w:rPr>
        <w:t>16. Historical Context — What Caused the Production Eras?</w:t>
      </w:r>
    </w:p>
    <w:p>
      <w:r>
        <w:rPr>
          <w:b w:val="0"/>
          <w:i w:val="0"/>
          <w:sz w:val="22"/>
        </w:rPr>
        <w:t>The era structure driving the model behaviour is not random — it reflects structural transformations in the Portuguese wine industry. Understanding these transitions matters for the thesis because they determine how much of CarenR's apparent rule strength is genuine agroclimatic signal versus a proxy for era membership.</w:t>
      </w:r>
    </w:p>
    <w:p>
      <w:pPr>
        <w:pStyle w:val="Heading2"/>
      </w:pPr>
      <w:r>
        <w:rPr>
          <w:color w:val="1F497D"/>
        </w:rPr>
        <w:t>16.1 Production Trajectories Are Opposite in the Two Regions</w:t>
      </w:r>
    </w:p>
    <w:p>
      <w:r>
        <w:rPr>
          <w:b w:val="0"/>
          <w:i w:val="0"/>
          <w:sz w:val="22"/>
        </w:rPr>
        <w:t>RVV (Vinho Verde) declined dramatically: ~2,300 mhl in the 1960s to ~800 mhl today — a 65% drop. RDD (Douro) increased: ~770 mhl in the 1930s to ~1,400 mhl in the 2000s. These opposite trajectories directly explain why the era confound is much stronger in RVV than in RDD, and consequently why CarenR's rules generalise better in the Douro.</w:t>
      </w:r>
    </w:p>
    <w:p>
      <w:pPr>
        <w:pStyle w:val="Heading2"/>
      </w:pPr>
      <w:r>
        <w:rPr>
          <w:color w:val="1F497D"/>
        </w:rPr>
        <w:t>16.2 Candidate Explanations</w:t>
      </w:r>
    </w:p>
    <w:p>
      <w:r>
        <w:rPr>
          <w:b w:val="0"/>
          <w:i w:val="0"/>
          <w:sz w:val="22"/>
        </w:rPr>
        <w:t>Several non-climate structural factors are likely responsible:</w:t>
      </w:r>
    </w:p>
    <w:p>
      <w:pPr>
        <w:pStyle w:val="ListBullet"/>
      </w:pPr>
      <w:r>
        <w:rPr>
          <w:sz w:val="22"/>
        </w:rPr>
        <w:t>EU accession (1986) and the Common Agricultural Policy: grubbing-up subsidies paid farmers to remove vineyards; quality standards penalised bulk production; restructuring grants shifted Vinho Verde from high-yield pergola systems to lower-yield espalier — a likely driver of the RVV decline.</w:t>
      </w:r>
    </w:p>
    <w:p>
      <w:pPr>
        <w:pStyle w:val="ListBullet"/>
      </w:pPr>
      <w:r>
        <w:rPr>
          <w:sz w:val="22"/>
        </w:rPr>
        <w:t>Rural exodus and demographic change: the generation maintaining small plots in the Minho and Douro regions retired or emigrated between 1970–2000; many micro-plots were abandoned — reducing production independent of climate.</w:t>
      </w:r>
    </w:p>
    <w:p>
      <w:pPr>
        <w:pStyle w:val="ListBullet"/>
      </w:pPr>
      <w:r>
        <w:rPr>
          <w:sz w:val="22"/>
        </w:rPr>
        <w:t>Portfolio expansion in the Douro: the Douro DOC for table wines was created in 1979. From the 1980s onward, Port houses started producing premium dry table wines alongside Port, progressively increasing total wine output from the demarcated region — a plausible driver of the RDD increase.</w:t>
      </w:r>
    </w:p>
    <w:p>
      <w:pPr>
        <w:pStyle w:val="ListBullet"/>
      </w:pPr>
      <w:r>
        <w:rPr>
          <w:sz w:val="22"/>
        </w:rPr>
        <w:t>The Port wine 'benefício' quota system: annual production of Port is administratively capped by the IVDP each year based on market conditions, partially decoupling Douro production from pure climate effects and reducing the era confound.</w:t>
      </w:r>
    </w:p>
    <w:p>
      <w:pPr>
        <w:pStyle w:val="Heading2"/>
      </w:pPr>
      <w:r>
        <w:rPr>
          <w:color w:val="1F497D"/>
        </w:rPr>
        <w:t>16.3 An Open Question</w:t>
      </w:r>
    </w:p>
    <w:p>
      <w:r>
        <w:rPr>
          <w:b w:val="0"/>
          <w:i w:val="0"/>
          <w:sz w:val="22"/>
        </w:rPr>
        <w:t>These are hypotheses based on domain knowledge, not yet verified against data. The key question for the thesis is:</w:t>
      </w:r>
    </w:p>
    <w:p>
      <w:r>
        <w:rPr>
          <w:b w:val="0"/>
          <w:i/>
          <w:sz w:val="22"/>
        </w:rPr>
        <w:t>If the era transitions in wine production are primarily driven by structural industry factors (policy, demographics, market evolution) rather than climate, then the linear detrend residuals contain a mixture of (a) genuine inter-annual climate signal and (b) slow-moving structural residual that the linear trend did not fully remove. CarenR's rules would then be capturing both — with the balance between (a) and (b) differing between RVV (structure-dominated) and RDD (climate more visible).</w:t>
      </w:r>
    </w:p>
    <w:p>
      <w:r>
        <w:rPr>
          <w:b w:val="0"/>
          <w:i w:val="0"/>
          <w:sz w:val="22"/>
        </w:rPr>
        <w:t>If additional data on industry structure — planted area, number of producers, Port quota levels, Douro DOC volumes separate from Port — can be obtained and incorporated, it could: (i) confirm whether the era transitions are structurally driven, and (ii) allow a more precise detrending that removes both the climate trend AND the structural trend, potentially leaving a cleaner climate signal for CarenR to discover.</w:t>
      </w:r>
    </w:p>
    <w:p>
      <w:pPr>
        <w:pStyle w:val="Heading2"/>
      </w:pPr>
      <w:r>
        <w:rPr>
          <w:color w:val="1F497D"/>
        </w:rPr>
        <w:t>16.4 Potential Next Step</w:t>
      </w:r>
    </w:p>
    <w:p>
      <w:r>
        <w:rPr>
          <w:b w:val="0"/>
          <w:i w:val="0"/>
          <w:sz w:val="22"/>
        </w:rPr>
        <w:t>If structural covariates (vineyard area, number of certified producers, annual Port benefício quota) are available for both regions across the full time series, they could be used to build a richer detrending model — one that removes both the long-term climate trend AND the industry structural effect. This would reduce the era confound more precisely than linear or LOESS detrending alone, potentially enabling CarenR to discover rules with less era contamination. This is left as a natural extension of the current work.</w:t>
      </w:r>
    </w:p>
    <w:p>
      <w:r>
        <w:br w:type="page"/>
      </w:r>
    </w:p>
    <w:p>
      <w:pPr>
        <w:pStyle w:val="Heading1"/>
      </w:pPr>
      <w:r>
        <w:rPr>
          <w:color w:val="1F497D"/>
        </w:rPr>
        <w:t>17. Two Technical Decisions Embedded in Every Prediction</w:t>
      </w:r>
    </w:p>
    <w:p>
      <w:r>
        <w:rPr>
          <w:b w:val="0"/>
          <w:i w:val="0"/>
          <w:sz w:val="22"/>
        </w:rPr>
        <w:t>A clarification on what the pipeline actually measures, and why the prediction task contains two independent technical decisions that must both succeed for CarenR to beat the naive baseline.</w:t>
      </w:r>
    </w:p>
    <w:p>
      <w:pPr>
        <w:pStyle w:val="Heading2"/>
      </w:pPr>
      <w:r>
        <w:rPr>
          <w:color w:val="1F497D"/>
        </w:rPr>
        <w:t>17.1 MAE Is on Real Production Values (Original Scale)</w:t>
      </w:r>
    </w:p>
    <w:p>
      <w:r>
        <w:rPr>
          <w:b w:val="0"/>
          <w:i w:val="0"/>
          <w:sz w:val="22"/>
        </w:rPr>
        <w:t>All predictions are retreneded before the error is computed. Every model's output follows the same structure:</w:t>
      </w:r>
    </w:p>
    <w:p>
      <w:r>
        <w:rPr>
          <w:b w:val="0"/>
          <w:i/>
          <w:sz w:val="20"/>
        </w:rPr>
        <w:t xml:space="preserve">    prediction  =  predicted_residual  +  trend_offset</w:t>
      </w:r>
    </w:p>
    <w:p>
      <w:r>
        <w:rPr>
          <w:b w:val="0"/>
          <w:i/>
          <w:sz w:val="20"/>
        </w:rPr>
        <w:t xml:space="preserve">    MAE         =  mean( |actual_mhl  −  prediction| )</w:t>
      </w:r>
    </w:p>
    <w:p>
      <w:r>
        <w:rPr>
          <w:b w:val="0"/>
          <w:i w:val="0"/>
          <w:sz w:val="22"/>
        </w:rPr>
        <w:t>where actual_mhl is the true production in mhl (original scale) and trend_offset = trend(test_year) is the trend value projected forward from the training-period fit. The 140 mhl (RVV) and 184 mhl (RDD) reported as Naive_Median MAE are directly interpretable as 'on average, predictions are off by this many mhl from actual production' — not from detrended residuals.</w:t>
      </w:r>
    </w:p>
    <w:p>
      <w:r>
        <w:rPr>
          <w:b w:val="0"/>
          <w:i w:val="0"/>
          <w:sz w:val="22"/>
        </w:rPr>
        <w:t>Algebraically, the error simplifies to residual space:</w:t>
      </w:r>
    </w:p>
    <w:p>
      <w:r>
        <w:rPr>
          <w:b w:val="0"/>
          <w:i/>
          <w:sz w:val="20"/>
        </w:rPr>
        <w:t xml:space="preserve">    error  =  actual_mhl − (trend_offset + predicted_residual)</w:t>
      </w:r>
    </w:p>
    <w:p>
      <w:r>
        <w:rPr>
          <w:b w:val="0"/>
          <w:i/>
          <w:sz w:val="20"/>
        </w:rPr>
        <w:t xml:space="preserve">           =  actual_test_residual − predicted_residual</w:t>
      </w:r>
    </w:p>
    <w:p>
      <w:r>
        <w:rPr>
          <w:b w:val="0"/>
          <w:i w:val="0"/>
          <w:sz w:val="22"/>
        </w:rPr>
        <w:t>So MAE on original scale IS equivalent to MAE on residuals — the trend cancels out. This equivalence is exact when detrending is applied consistently to both training and test.</w:t>
      </w:r>
    </w:p>
    <w:p>
      <w:pPr>
        <w:pStyle w:val="Heading2"/>
      </w:pPr>
      <w:r>
        <w:rPr>
          <w:color w:val="1F497D"/>
        </w:rPr>
        <w:t>17.2 The Two Independent Technical Decisions</w:t>
      </w:r>
    </w:p>
    <w:p>
      <w:r>
        <w:rPr>
          <w:b w:val="0"/>
          <w:i w:val="0"/>
          <w:sz w:val="22"/>
        </w:rPr>
        <w:t>Because error = actual_test_residual − predicted_residual, the total prediction error is governed by two separate and independent decisions:</w:t>
      </w:r>
    </w:p>
    <w:p>
      <w:pPr>
        <w:pStyle w:val="Heading3"/>
      </w:pPr>
      <w:r>
        <w:rPr>
          <w:color w:val="1F497D"/>
        </w:rPr>
        <w:t>Decision 1 — Detrend quality: how large are the actual test residuals?</w:t>
      </w:r>
    </w:p>
    <w:p>
      <w:r>
        <w:rPr>
          <w:b w:val="0"/>
          <w:i w:val="0"/>
          <w:sz w:val="22"/>
        </w:rPr>
        <w:t>actual_test_residual = actual_mhl − trend(test_year) is entirely determined by how well the training-period trend extrapolates to test years. If the trend captures the structural production trajectory perfectly, test residuals are small and close to zero. If the trend overestimates or underestimates, test residuals are large and systematic.</w:t>
      </w:r>
    </w:p>
    <w:p>
      <w:r>
        <w:rPr>
          <w:b w:val="0"/>
          <w:i w:val="0"/>
          <w:sz w:val="22"/>
        </w:rPr>
        <w:t>Naive_Median predicts zero residual (training median ≈ 0 by construction). So MAE(Naive_Median) ≈ mean(|actual_test_residuals|) — the average magnitude of test-period deviations from the training trend. This is the 'floor': the error you get from the trend alone, before any model tries to predict residuals.</w:t>
      </w:r>
    </w:p>
    <w:p>
      <w:pPr>
        <w:pStyle w:val="Heading3"/>
      </w:pPr>
      <w:r>
        <w:rPr>
          <w:color w:val="1F497D"/>
        </w:rPr>
        <w:t>Decision 2 — Residual model quality: how well does CarenR predict deviations?</w:t>
      </w:r>
    </w:p>
    <w:p>
      <w:r>
        <w:rPr>
          <w:b w:val="0"/>
          <w:i w:val="0"/>
          <w:sz w:val="22"/>
        </w:rPr>
        <w:t>Given the actual test residuals, can the model predict them using meteorological features? This is entirely about the climate signal — whether conditions like flowering rainfall or harvest soil water carry enough information to say 'this year will be above or below trend'. CarenR beats Naive_Median only when its predicted residual is closer to the actual residual than zero (or the training median) is.</w:t>
      </w:r>
    </w:p>
    <w:p>
      <w:pPr>
        <w:pStyle w:val="Heading2"/>
      </w:pPr>
      <w:r>
        <w:rPr>
          <w:color w:val="1F497D"/>
        </w:rPr>
        <w:t>17.3 How the Two Decisions Interact — the Detrend Trade-off</w:t>
      </w:r>
    </w:p>
    <w:p>
      <w:r>
        <w:rPr>
          <w:b w:val="0"/>
          <w:i w:val="0"/>
          <w:sz w:val="22"/>
        </w:rPr>
        <w:t>The two decisions interact in a way that creates a genuine trade-off between detrend quality and residual signal availability:</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center"/>
            </w:pPr>
            <w:r>
              <w:rPr>
                <w:b/>
                <w:sz w:val="18"/>
              </w:rPr>
            </w:r>
          </w:p>
        </w:tc>
        <w:tc>
          <w:tcPr>
            <w:tcW w:type="dxa" w:w="3009"/>
          </w:tcPr>
          <w:p>
            <w:pPr>
              <w:jc w:val="center"/>
            </w:pPr>
            <w:r>
              <w:rPr>
                <w:b/>
                <w:sz w:val="18"/>
              </w:rPr>
              <w:t>Linear detrend</w:t>
            </w:r>
          </w:p>
        </w:tc>
        <w:tc>
          <w:tcPr>
            <w:tcW w:type="dxa" w:w="3009"/>
          </w:tcPr>
          <w:p>
            <w:pPr>
              <w:jc w:val="center"/>
            </w:pPr>
            <w:r>
              <w:rPr>
                <w:b/>
                <w:sz w:val="18"/>
              </w:rPr>
              <w:t>LOESS detrend</w:t>
            </w:r>
          </w:p>
        </w:tc>
      </w:tr>
      <w:tr>
        <w:tc>
          <w:tcPr>
            <w:tcW w:type="dxa" w:w="3009"/>
          </w:tcPr>
          <w:p>
            <w:pPr>
              <w:jc w:val="left"/>
            </w:pPr>
            <w:r>
              <w:rPr>
                <w:sz w:val="18"/>
              </w:rPr>
              <w:t>Decision 1: detrend quality</w:t>
            </w:r>
          </w:p>
        </w:tc>
        <w:tc>
          <w:tcPr>
            <w:tcW w:type="dxa" w:w="3009"/>
          </w:tcPr>
          <w:p>
            <w:pPr>
              <w:jc w:val="center"/>
            </w:pPr>
            <w:r>
              <w:rPr>
                <w:sz w:val="18"/>
              </w:rPr>
              <w:t>Weaker — trend doesn't capture</w:t>
              <w:br/>
              <w:t>the 1980s plateau (RVV) or</w:t>
              <w:br/>
              <w:t>Douro expansion (RDD)</w:t>
            </w:r>
          </w:p>
        </w:tc>
        <w:tc>
          <w:tcPr>
            <w:tcW w:type="dxa" w:w="3009"/>
          </w:tcPr>
          <w:p>
            <w:pPr>
              <w:jc w:val="center"/>
            </w:pPr>
            <w:r>
              <w:rPr>
                <w:sz w:val="18"/>
              </w:rPr>
              <w:t>Stronger — flexible fit captures</w:t>
              <w:br/>
              <w:t>structural changes better</w:t>
            </w:r>
          </w:p>
        </w:tc>
      </w:tr>
      <w:tr>
        <w:tc>
          <w:tcPr>
            <w:tcW w:type="dxa" w:w="3009"/>
          </w:tcPr>
          <w:p>
            <w:pPr>
              <w:jc w:val="left"/>
            </w:pPr>
            <w:r>
              <w:rPr>
                <w:sz w:val="18"/>
              </w:rPr>
              <w:t>Naive_Median MAE (Decision 1 floor)</w:t>
            </w:r>
          </w:p>
        </w:tc>
        <w:tc>
          <w:tcPr>
            <w:tcW w:type="dxa" w:w="3009"/>
          </w:tcPr>
          <w:p>
            <w:pPr>
              <w:jc w:val="center"/>
            </w:pPr>
            <w:r>
              <w:rPr>
                <w:sz w:val="18"/>
              </w:rPr>
              <w:t>~140 mhl (RVV) / ~184 mhl (RDD)</w:t>
            </w:r>
          </w:p>
        </w:tc>
        <w:tc>
          <w:tcPr>
            <w:tcW w:type="dxa" w:w="3009"/>
          </w:tcPr>
          <w:p>
            <w:pPr>
              <w:jc w:val="center"/>
            </w:pPr>
            <w:r>
              <w:rPr>
                <w:sz w:val="18"/>
              </w:rPr>
              <w:t>~90 mhl (RVV) — better floor</w:t>
            </w:r>
          </w:p>
        </w:tc>
      </w:tr>
      <w:tr>
        <w:tc>
          <w:tcPr>
            <w:tcW w:type="dxa" w:w="3009"/>
          </w:tcPr>
          <w:p>
            <w:pPr>
              <w:jc w:val="left"/>
            </w:pPr>
            <w:r>
              <w:rPr>
                <w:sz w:val="18"/>
              </w:rPr>
              <w:t>Actual test residuals</w:t>
            </w:r>
          </w:p>
        </w:tc>
        <w:tc>
          <w:tcPr>
            <w:tcW w:type="dxa" w:w="3009"/>
          </w:tcPr>
          <w:p>
            <w:pPr>
              <w:jc w:val="center"/>
            </w:pPr>
            <w:r>
              <w:rPr>
                <w:sz w:val="18"/>
              </w:rPr>
              <w:t>Larger — more signal available</w:t>
              <w:br/>
              <w:t>for CarenR to exploit</w:t>
            </w:r>
          </w:p>
        </w:tc>
        <w:tc>
          <w:tcPr>
            <w:tcW w:type="dxa" w:w="3009"/>
          </w:tcPr>
          <w:p>
            <w:pPr>
              <w:jc w:val="center"/>
            </w:pPr>
            <w:r>
              <w:rPr>
                <w:sz w:val="18"/>
              </w:rPr>
              <w:t>Smaller — little residual</w:t>
              <w:br/>
              <w:t>signal left for any model</w:t>
            </w:r>
          </w:p>
        </w:tc>
      </w:tr>
      <w:tr>
        <w:tc>
          <w:tcPr>
            <w:tcW w:type="dxa" w:w="3009"/>
          </w:tcPr>
          <w:p>
            <w:pPr>
              <w:jc w:val="left"/>
            </w:pPr>
            <w:r>
              <w:rPr>
                <w:sz w:val="18"/>
              </w:rPr>
              <w:t>Decision 2: residual model quality</w:t>
            </w:r>
          </w:p>
        </w:tc>
        <w:tc>
          <w:tcPr>
            <w:tcW w:type="dxa" w:w="3009"/>
          </w:tcPr>
          <w:p>
            <w:pPr>
              <w:jc w:val="center"/>
            </w:pPr>
            <w:r>
              <w:rPr>
                <w:sz w:val="18"/>
              </w:rPr>
              <w:t>CarenR finds rules and wins</w:t>
              <w:br/>
              <w:t>in balanced-era scenarios (RDD)</w:t>
            </w:r>
          </w:p>
        </w:tc>
        <w:tc>
          <w:tcPr>
            <w:tcW w:type="dxa" w:w="3009"/>
          </w:tcPr>
          <w:p>
            <w:pPr>
              <w:jc w:val="center"/>
            </w:pPr>
            <w:r>
              <w:rPr>
                <w:sz w:val="18"/>
              </w:rPr>
              <w:t>CarenR finds 0 rules —</w:t>
              <w:br/>
              <w:t>residual too weak to exploit</w:t>
            </w:r>
          </w:p>
        </w:tc>
      </w:tr>
      <w:tr>
        <w:tc>
          <w:tcPr>
            <w:tcW w:type="dxa" w:w="3009"/>
          </w:tcPr>
          <w:p>
            <w:pPr>
              <w:jc w:val="left"/>
            </w:pPr>
            <w:r>
              <w:rPr>
                <w:sz w:val="18"/>
              </w:rPr>
              <w:t>CarenR final result</w:t>
            </w:r>
          </w:p>
        </w:tc>
        <w:tc>
          <w:tcPr>
            <w:tcW w:type="dxa" w:w="3009"/>
          </w:tcPr>
          <w:p>
            <w:pPr>
              <w:jc w:val="center"/>
            </w:pPr>
            <w:r>
              <w:rPr>
                <w:sz w:val="18"/>
              </w:rPr>
              <w:t>Competitive in RDD, weak in RVV</w:t>
            </w:r>
          </w:p>
        </w:tc>
        <w:tc>
          <w:tcPr>
            <w:tcW w:type="dxa" w:w="3009"/>
          </w:tcPr>
          <w:p>
            <w:pPr>
              <w:jc w:val="center"/>
            </w:pPr>
            <w:r>
              <w:rPr>
                <w:sz w:val="18"/>
              </w:rPr>
              <w:t>Falls back to median —</w:t>
              <w:br/>
              <w:t>identical to Naive_Median</w:t>
            </w:r>
          </w:p>
        </w:tc>
      </w:tr>
    </w:tbl>
    <w:p>
      <w:r>
        <w:rPr>
          <w:b w:val="0"/>
          <w:i w:val="0"/>
          <w:sz w:val="22"/>
        </w:rPr>
      </w:r>
    </w:p>
    <w:p>
      <w:r>
        <w:rPr>
          <w:b w:val="0"/>
          <w:i w:val="0"/>
          <w:sz w:val="22"/>
        </w:rPr>
        <w:t>Better detrending (LOESS) improves Decision 1 — the floor drops from 140 to 90 mhl. But it removes the residual signal that Decision 2 depends on, making CarenR's climate signal undetectable. Worse detrending (linear) raises the floor but leaves more signal for CarenR to exploit — and in RDD, CarenR does exploit it.</w:t>
      </w:r>
    </w:p>
    <w:p>
      <w:r>
        <w:rPr>
          <w:b w:val="0"/>
          <w:i/>
          <w:sz w:val="22"/>
        </w:rPr>
        <w:t>This is a bias-variance trade-off applied to the detrend step itself: a flexible trend model (LOESS) reduces bias in the trend but increases variance in the residuals by leaving less signal. A rigid trend model (linear) has higher bias but leaves more structured residual signal — which is precisely what rule-based methods need.</w:t>
      </w:r>
    </w:p>
    <w:p>
      <w:pPr>
        <w:pStyle w:val="Heading2"/>
      </w:pPr>
      <w:r>
        <w:rPr>
          <w:color w:val="1F497D"/>
        </w:rPr>
        <w:t>17.4 Thesis Framing</w:t>
      </w:r>
    </w:p>
    <w:p>
      <w:r>
        <w:rPr>
          <w:b w:val="0"/>
          <w:i w:val="0"/>
          <w:sz w:val="22"/>
        </w:rPr>
        <w:t>The prediction pipeline can be cleanly framed as two sequential technical decisions, each with its own success criterion:</w:t>
      </w:r>
    </w:p>
    <w:p>
      <w:pPr>
        <w:pStyle w:val="ListBullet"/>
      </w:pPr>
      <w:r>
        <w:rPr>
          <w:sz w:val="22"/>
        </w:rPr>
        <w:t>Decision 1 — Trend modelling: capture the long-term structural production trajectory (industry growth/decline, policy changes, demographic shifts). Better trend → lower baseline error. Evaluated by Naive_Median MAE.</w:t>
      </w:r>
    </w:p>
    <w:p>
      <w:pPr>
        <w:pStyle w:val="ListBullet"/>
      </w:pPr>
      <w:r>
        <w:rPr>
          <w:sz w:val="22"/>
        </w:rPr>
        <w:t>Decision 2 — Climate signal extraction: given the detrended residuals, identify meteorological conditions that systematically predict above/below-trend years. Better signal → CarenR beats Naive_Median. Evaluated by the gap between CarenR MAE and Naive_Median MAE.</w:t>
      </w:r>
    </w:p>
    <w:p>
      <w:r>
        <w:rPr>
          <w:b w:val="0"/>
          <w:i w:val="0"/>
          <w:sz w:val="22"/>
        </w:rPr>
        <w:t>The thesis finding is that Decision 2 partially succeeds in RDD (CarenR wins in balanced-era scenarios, beat Naive_Median by 17-32 mhl) and largely fails in RVV (climate signal dominated by era confound). Decision 1 quality (detrend method) and Decision 2 quality (climate signal) cannot both be maximised simultaneously with this dataset — a core tension that the thesis documents, explains, and leaves open as a direction for future work with structural covariates.</w:t>
      </w:r>
    </w:p>
    <w:p>
      <w:r>
        <w:br w:type="page"/>
      </w:r>
    </w:p>
    <w:p>
      <w:pPr>
        <w:pStyle w:val="Heading1"/>
      </w:pPr>
      <w:r>
        <w:rPr>
          <w:color w:val="1F497D"/>
        </w:rPr>
        <w:t>18. Overall Thesis Framing — A Guide for Writing</w:t>
      </w:r>
    </w:p>
    <w:p>
      <w:r>
        <w:rPr>
          <w:b w:val="0"/>
          <w:i w:val="0"/>
          <w:sz w:val="22"/>
        </w:rPr>
        <w:t>This section synthesises all findings into a coherent thesis narrative. It is written as a guide for drafting the thesis chapters — capturing the argument structure, key numbers, and the connections between findings that should come through in the writing.</w:t>
      </w:r>
    </w:p>
    <w:p>
      <w:pPr>
        <w:pStyle w:val="Heading2"/>
      </w:pPr>
      <w:r>
        <w:rPr>
          <w:color w:val="1F497D"/>
        </w:rPr>
        <w:t>18.1 The Central Claim</w:t>
      </w:r>
    </w:p>
    <w:p>
      <w:r>
        <w:rPr>
          <w:b w:val="0"/>
          <w:i w:val="0"/>
          <w:sz w:val="22"/>
        </w:rPr>
        <w:t>The thesis makes one central empirical claim, supported by two interlocking findings:</w:t>
      </w:r>
    </w:p>
    <w:p>
      <w:r>
        <w:rPr>
          <w:b/>
          <w:i w:val="0"/>
          <w:sz w:val="22"/>
        </w:rPr>
        <w:t>CENTRAL CLAIM: Rule-based machine learning (CarenR) can discover interpretable agroclimatic patterns in wine production data, but predicting future production from those rules requires solving two sequential technical problems — detrending and climate signal extraction — whose demands are in fundamental tension with each other given the available data.</w:t>
      </w:r>
    </w:p>
    <w:p>
      <w:r>
        <w:rPr>
          <w:b w:val="0"/>
          <w:i w:val="0"/>
          <w:sz w:val="22"/>
        </w:rPr>
        <w:t>Finding 1 (Goal 1 — Explainability): CarenR successfully discovers interpretable rules pointing to harvest-period soil water and flowering-phase rainfall as the dominant agroclimatic drivers in both the Douro and Vinho Verde regions. These rules are validated as genuine — the same variables remain top correlates even under LOESS detrending which removes era confounds.</w:t>
      </w:r>
    </w:p>
    <w:p>
      <w:r>
        <w:rPr>
          <w:b w:val="0"/>
          <w:i w:val="0"/>
          <w:sz w:val="22"/>
        </w:rPr>
        <w:t>Finding 2 (Goal 2 — Prediction): Reliable prediction from those rules is not achieved in aggregate. However, the reason is structural and precisely diagnosable: the prediction error decomposes into two independent technical decisions whose trade-off prevents simultaneous optimisation with the current dataset.</w:t>
      </w:r>
    </w:p>
    <w:p>
      <w:pPr>
        <w:pStyle w:val="Heading2"/>
      </w:pPr>
      <w:r>
        <w:rPr>
          <w:color w:val="1F497D"/>
        </w:rPr>
        <w:t>18.2 The Two-Decision Framework — the Organising Structure for Results</w:t>
      </w:r>
    </w:p>
    <w:p>
      <w:r>
        <w:rPr>
          <w:b w:val="0"/>
          <w:i w:val="0"/>
          <w:sz w:val="22"/>
        </w:rPr>
        <w:t>Every prediction follows the identity:</w:t>
      </w:r>
    </w:p>
    <w:p>
      <w:r>
        <w:rPr>
          <w:b w:val="0"/>
          <w:i/>
          <w:sz w:val="20"/>
        </w:rPr>
        <w:t xml:space="preserve">    error  =  actual_test_residual  −  predicted_residual</w:t>
      </w:r>
    </w:p>
    <w:p>
      <w:r>
        <w:rPr>
          <w:b w:val="0"/>
          <w:i w:val="0"/>
          <w:sz w:val="22"/>
        </w:rPr>
        <w:t>This surfaces two decisions that are independent in theory but interact in practice: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center"/>
            </w:pPr>
            <w:r>
              <w:rPr>
                <w:b/>
                <w:sz w:val="18"/>
              </w:rPr>
              <w:t>Decision</w:t>
            </w:r>
          </w:p>
        </w:tc>
        <w:tc>
          <w:tcPr>
            <w:tcW w:type="dxa" w:w="2256"/>
          </w:tcPr>
          <w:p>
            <w:pPr>
              <w:jc w:val="center"/>
            </w:pPr>
            <w:r>
              <w:rPr>
                <w:b/>
                <w:sz w:val="18"/>
              </w:rPr>
              <w:t>Question</w:t>
            </w:r>
          </w:p>
        </w:tc>
        <w:tc>
          <w:tcPr>
            <w:tcW w:type="dxa" w:w="2256"/>
          </w:tcPr>
          <w:p>
            <w:pPr>
              <w:jc w:val="center"/>
            </w:pPr>
            <w:r>
              <w:rPr>
                <w:b/>
                <w:sz w:val="18"/>
              </w:rPr>
              <w:t>Measured by</w:t>
            </w:r>
          </w:p>
        </w:tc>
        <w:tc>
          <w:tcPr>
            <w:tcW w:type="dxa" w:w="2256"/>
          </w:tcPr>
          <w:p>
            <w:pPr>
              <w:jc w:val="center"/>
            </w:pPr>
            <w:r>
              <w:rPr>
                <w:b/>
                <w:sz w:val="18"/>
              </w:rPr>
              <w:t>Best result</w:t>
            </w:r>
          </w:p>
        </w:tc>
      </w:tr>
      <w:tr>
        <w:tc>
          <w:tcPr>
            <w:tcW w:type="dxa" w:w="2256"/>
          </w:tcPr>
          <w:p>
            <w:pPr>
              <w:jc w:val="left"/>
            </w:pPr>
            <w:r>
              <w:rPr>
                <w:sz w:val="18"/>
              </w:rPr>
              <w:t>1 — Trend modelling</w:t>
            </w:r>
          </w:p>
        </w:tc>
        <w:tc>
          <w:tcPr>
            <w:tcW w:type="dxa" w:w="2256"/>
          </w:tcPr>
          <w:p>
            <w:pPr>
              <w:jc w:val="center"/>
            </w:pPr>
            <w:r>
              <w:rPr>
                <w:sz w:val="18"/>
              </w:rPr>
              <w:t>How well does the training trend</w:t>
              <w:br/>
              <w:t>extrapolate to test years?</w:t>
            </w:r>
          </w:p>
        </w:tc>
        <w:tc>
          <w:tcPr>
            <w:tcW w:type="dxa" w:w="2256"/>
          </w:tcPr>
          <w:p>
            <w:pPr>
              <w:jc w:val="center"/>
            </w:pPr>
            <w:r>
              <w:rPr>
                <w:sz w:val="18"/>
              </w:rPr>
              <w:t>Naive_Median MAE</w:t>
              <w:br/>
              <w:t>(= mean |actual test residuals|)</w:t>
            </w:r>
          </w:p>
        </w:tc>
        <w:tc>
          <w:tcPr>
            <w:tcW w:type="dxa" w:w="2256"/>
          </w:tcPr>
          <w:p>
            <w:pPr>
              <w:jc w:val="center"/>
            </w:pPr>
            <w:r>
              <w:rPr>
                <w:sz w:val="18"/>
              </w:rPr>
              <w:t>LOESS: ~90 mhl (RVV)</w:t>
              <w:br/>
              <w:t>Linear: 140 (RVV) / 184 (RDD)</w:t>
            </w:r>
          </w:p>
        </w:tc>
      </w:tr>
      <w:tr>
        <w:tc>
          <w:tcPr>
            <w:tcW w:type="dxa" w:w="2256"/>
          </w:tcPr>
          <w:p>
            <w:pPr>
              <w:jc w:val="left"/>
            </w:pPr>
            <w:r>
              <w:rPr>
                <w:sz w:val="18"/>
              </w:rPr>
              <w:t>2 — Climate signal extraction</w:t>
            </w:r>
          </w:p>
        </w:tc>
        <w:tc>
          <w:tcPr>
            <w:tcW w:type="dxa" w:w="2256"/>
          </w:tcPr>
          <w:p>
            <w:pPr>
              <w:jc w:val="center"/>
            </w:pPr>
            <w:r>
              <w:rPr>
                <w:sz w:val="18"/>
              </w:rPr>
              <w:t>Can CarenR predict which years will</w:t>
              <w:br/>
              <w:t>be above or below the trend?</w:t>
            </w:r>
          </w:p>
        </w:tc>
        <w:tc>
          <w:tcPr>
            <w:tcW w:type="dxa" w:w="2256"/>
          </w:tcPr>
          <w:p>
            <w:pPr>
              <w:jc w:val="center"/>
            </w:pPr>
            <w:r>
              <w:rPr>
                <w:sz w:val="18"/>
              </w:rPr>
              <w:t>Gap: CarenR MAE vs Naive_Median</w:t>
              <w:br/>
              <w:t>(negative = CarenR wins)</w:t>
            </w:r>
          </w:p>
        </w:tc>
        <w:tc>
          <w:tcPr>
            <w:tcW w:type="dxa" w:w="2256"/>
          </w:tcPr>
          <w:p>
            <w:pPr>
              <w:jc w:val="center"/>
            </w:pPr>
            <w:r>
              <w:rPr>
                <w:sz w:val="18"/>
              </w:rPr>
              <w:t>RDD scen. 10-14: −17 to −32 mhl</w:t>
              <w:br/>
              <w:t>RVV: marginal, no consistent win</w:t>
            </w:r>
          </w:p>
        </w:tc>
      </w:tr>
    </w:tbl>
    <w:p>
      <w:r>
        <w:rPr>
          <w:b w:val="0"/>
          <w:i w:val="0"/>
          <w:sz w:val="22"/>
        </w:rPr>
      </w:r>
    </w:p>
    <w:p>
      <w:r>
        <w:rPr>
          <w:b w:val="0"/>
          <w:i w:val="0"/>
          <w:sz w:val="22"/>
        </w:rPr>
        <w:t>The trade-off: better detrending (LOESS) shrinks the actual test residuals, reducing the Naive floor but simultaneously removing the signal CarenR needs to exploit. Linear detrending raises the floor but leaves structured residuals that CarenR can partially predict. You cannot fully optimise both decisions simultaneously with 80-89 years of data and a single time covariate.</w:t>
      </w:r>
    </w:p>
    <w:p>
      <w:pPr>
        <w:pStyle w:val="Heading2"/>
      </w:pPr>
      <w:r>
        <w:rPr>
          <w:color w:val="1F497D"/>
        </w:rPr>
        <w:t>18.3 All Key Numbers — For Thesis Writing</w:t>
      </w:r>
    </w:p>
    <w:p>
      <w:r>
        <w:rPr>
          <w:b w:val="0"/>
          <w:i w:val="0"/>
          <w:sz w:val="22"/>
        </w:rPr>
        <w:t>Reference table of every number needed for the Results and Discussion chapters:</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center"/>
            </w:pPr>
            <w:r>
              <w:rPr>
                <w:b/>
                <w:sz w:val="18"/>
              </w:rPr>
              <w:t>Metric</w:t>
            </w:r>
          </w:p>
        </w:tc>
        <w:tc>
          <w:tcPr>
            <w:tcW w:type="dxa" w:w="3009"/>
          </w:tcPr>
          <w:p>
            <w:pPr>
              <w:jc w:val="center"/>
            </w:pPr>
            <w:r>
              <w:rPr>
                <w:b/>
                <w:sz w:val="18"/>
              </w:rPr>
              <w:t>RDD (Douro)</w:t>
            </w:r>
          </w:p>
        </w:tc>
        <w:tc>
          <w:tcPr>
            <w:tcW w:type="dxa" w:w="3009"/>
          </w:tcPr>
          <w:p>
            <w:pPr>
              <w:jc w:val="center"/>
            </w:pPr>
            <w:r>
              <w:rPr>
                <w:b/>
                <w:sz w:val="18"/>
              </w:rPr>
              <w:t>RVV (Vinho Verde)</w:t>
            </w:r>
          </w:p>
        </w:tc>
      </w:tr>
      <w:tr>
        <w:tc>
          <w:tcPr>
            <w:tcW w:type="dxa" w:w="3009"/>
          </w:tcPr>
          <w:p>
            <w:pPr>
              <w:jc w:val="left"/>
            </w:pPr>
            <w:r>
              <w:rPr>
                <w:sz w:val="18"/>
              </w:rPr>
              <w:t>Dataset size</w:t>
            </w:r>
          </w:p>
        </w:tc>
        <w:tc>
          <w:tcPr>
            <w:tcW w:type="dxa" w:w="3009"/>
          </w:tcPr>
          <w:p>
            <w:pPr>
              <w:jc w:val="center"/>
            </w:pPr>
            <w:r>
              <w:rPr>
                <w:sz w:val="18"/>
              </w:rPr>
              <w:t>89 years (1934-2022)</w:t>
            </w:r>
          </w:p>
        </w:tc>
        <w:tc>
          <w:tcPr>
            <w:tcW w:type="dxa" w:w="3009"/>
          </w:tcPr>
          <w:p>
            <w:pPr>
              <w:jc w:val="center"/>
            </w:pPr>
            <w:r>
              <w:rPr>
                <w:sz w:val="18"/>
              </w:rPr>
              <w:t>80 years (1942-2021)</w:t>
            </w:r>
          </w:p>
        </w:tc>
      </w:tr>
      <w:tr>
        <w:tc>
          <w:tcPr>
            <w:tcW w:type="dxa" w:w="3009"/>
          </w:tcPr>
          <w:p>
            <w:pPr>
              <w:jc w:val="left"/>
            </w:pPr>
            <w:r>
              <w:rPr>
                <w:sz w:val="18"/>
              </w:rPr>
              <w:t>Walk-forward scenarios</w:t>
            </w:r>
          </w:p>
        </w:tc>
        <w:tc>
          <w:tcPr>
            <w:tcW w:type="dxa" w:w="3009"/>
          </w:tcPr>
          <w:p>
            <w:pPr>
              <w:jc w:val="center"/>
            </w:pPr>
            <w:r>
              <w:rPr>
                <w:sz w:val="18"/>
              </w:rPr>
              <w:t>18</w:t>
            </w:r>
          </w:p>
        </w:tc>
        <w:tc>
          <w:tcPr>
            <w:tcW w:type="dxa" w:w="3009"/>
          </w:tcPr>
          <w:p>
            <w:pPr>
              <w:jc w:val="center"/>
            </w:pPr>
            <w:r>
              <w:rPr>
                <w:sz w:val="18"/>
              </w:rPr>
              <w:t>16</w:t>
            </w:r>
          </w:p>
        </w:tc>
      </w:tr>
      <w:tr>
        <w:tc>
          <w:tcPr>
            <w:tcW w:type="dxa" w:w="3009"/>
          </w:tcPr>
          <w:p>
            <w:pPr>
              <w:jc w:val="left"/>
            </w:pPr>
            <w:r>
              <w:rPr>
                <w:sz w:val="18"/>
              </w:rPr>
              <w:t>Models compared</w:t>
            </w:r>
          </w:p>
        </w:tc>
        <w:tc>
          <w:tcPr>
            <w:tcW w:type="dxa" w:w="3009"/>
          </w:tcPr>
          <w:p>
            <w:pPr>
              <w:jc w:val="center"/>
            </w:pPr>
            <w:r>
              <w:rPr>
                <w:sz w:val="18"/>
              </w:rPr>
              <w:t>17</w:t>
            </w:r>
          </w:p>
        </w:tc>
        <w:tc>
          <w:tcPr>
            <w:tcW w:type="dxa" w:w="3009"/>
          </w:tcPr>
          <w:p>
            <w:pPr>
              <w:jc w:val="center"/>
            </w:pPr>
            <w:r>
              <w:rPr>
                <w:sz w:val="18"/>
              </w:rPr>
              <w:t>17</w:t>
            </w:r>
          </w:p>
        </w:tc>
      </w:tr>
      <w:tr>
        <w:tc>
          <w:tcPr>
            <w:tcW w:type="dxa" w:w="3009"/>
          </w:tcPr>
          <w:p>
            <w:pPr>
              <w:jc w:val="left"/>
            </w:pPr>
            <w:r>
              <w:rPr>
                <w:sz w:val="18"/>
              </w:rPr>
            </w:r>
          </w:p>
        </w:tc>
        <w:tc>
          <w:tcPr>
            <w:tcW w:type="dxa" w:w="3009"/>
          </w:tcPr>
          <w:p>
            <w:pPr>
              <w:jc w:val="center"/>
            </w:pPr>
            <w:r>
              <w:rPr>
                <w:sz w:val="18"/>
              </w:rPr>
            </w:r>
          </w:p>
        </w:tc>
        <w:tc>
          <w:tcPr>
            <w:tcW w:type="dxa" w:w="3009"/>
          </w:tcPr>
          <w:p>
            <w:pPr>
              <w:jc w:val="center"/>
            </w:pPr>
            <w:r>
              <w:rPr>
                <w:sz w:val="18"/>
              </w:rPr>
            </w:r>
          </w:p>
        </w:tc>
      </w:tr>
      <w:tr>
        <w:tc>
          <w:tcPr>
            <w:tcW w:type="dxa" w:w="3009"/>
          </w:tcPr>
          <w:p>
            <w:pPr>
              <w:jc w:val="left"/>
            </w:pPr>
            <w:r>
              <w:rPr>
                <w:sz w:val="18"/>
              </w:rPr>
              <w:t>--- DECISION 1: Trend quality ---</w:t>
            </w:r>
          </w:p>
        </w:tc>
        <w:tc>
          <w:tcPr>
            <w:tcW w:type="dxa" w:w="3009"/>
          </w:tcPr>
          <w:p>
            <w:pPr>
              <w:jc w:val="center"/>
            </w:pPr>
            <w:r>
              <w:rPr>
                <w:sz w:val="18"/>
              </w:rPr>
            </w:r>
          </w:p>
        </w:tc>
        <w:tc>
          <w:tcPr>
            <w:tcW w:type="dxa" w:w="3009"/>
          </w:tcPr>
          <w:p>
            <w:pPr>
              <w:jc w:val="center"/>
            </w:pPr>
            <w:r>
              <w:rPr>
                <w:sz w:val="18"/>
              </w:rPr>
            </w:r>
          </w:p>
        </w:tc>
      </w:tr>
      <w:tr>
        <w:tc>
          <w:tcPr>
            <w:tcW w:type="dxa" w:w="3009"/>
          </w:tcPr>
          <w:p>
            <w:pPr>
              <w:jc w:val="left"/>
            </w:pPr>
            <w:r>
              <w:rPr>
                <w:sz w:val="18"/>
              </w:rPr>
              <w:t>Naive_Median weighted MAE (linear)</w:t>
            </w:r>
          </w:p>
        </w:tc>
        <w:tc>
          <w:tcPr>
            <w:tcW w:type="dxa" w:w="3009"/>
          </w:tcPr>
          <w:p>
            <w:pPr>
              <w:jc w:val="center"/>
            </w:pPr>
            <w:r>
              <w:rPr>
                <w:sz w:val="18"/>
              </w:rPr>
              <w:t>184 mhl</w:t>
            </w:r>
          </w:p>
        </w:tc>
        <w:tc>
          <w:tcPr>
            <w:tcW w:type="dxa" w:w="3009"/>
          </w:tcPr>
          <w:p>
            <w:pPr>
              <w:jc w:val="center"/>
            </w:pPr>
            <w:r>
              <w:rPr>
                <w:sz w:val="18"/>
              </w:rPr>
              <w:t>140 mhl</w:t>
            </w:r>
          </w:p>
        </w:tc>
      </w:tr>
      <w:tr>
        <w:tc>
          <w:tcPr>
            <w:tcW w:type="dxa" w:w="3009"/>
          </w:tcPr>
          <w:p>
            <w:pPr>
              <w:jc w:val="left"/>
            </w:pPr>
            <w:r>
              <w:rPr>
                <w:sz w:val="18"/>
              </w:rPr>
              <w:t>Naive_Median weighted MAE (LOESS)</w:t>
            </w:r>
          </w:p>
        </w:tc>
        <w:tc>
          <w:tcPr>
            <w:tcW w:type="dxa" w:w="3009"/>
          </w:tcPr>
          <w:p>
            <w:pPr>
              <w:jc w:val="center"/>
            </w:pPr>
            <w:r>
              <w:rPr>
                <w:sz w:val="18"/>
              </w:rPr>
              <w:t>n/a (RDD not run)</w:t>
            </w:r>
          </w:p>
        </w:tc>
        <w:tc>
          <w:tcPr>
            <w:tcW w:type="dxa" w:w="3009"/>
          </w:tcPr>
          <w:p>
            <w:pPr>
              <w:jc w:val="center"/>
            </w:pPr>
            <w:r>
              <w:rPr>
                <w:sz w:val="18"/>
              </w:rPr>
              <w:t>~90 mhl</w:t>
            </w:r>
          </w:p>
        </w:tc>
      </w:tr>
      <w:tr>
        <w:tc>
          <w:tcPr>
            <w:tcW w:type="dxa" w:w="3009"/>
          </w:tcPr>
          <w:p>
            <w:pPr>
              <w:jc w:val="left"/>
            </w:pPr>
            <w:r>
              <w:rPr>
                <w:sz w:val="18"/>
              </w:rPr>
              <w:t>Naive (last value) weighted MAE</w:t>
            </w:r>
          </w:p>
        </w:tc>
        <w:tc>
          <w:tcPr>
            <w:tcW w:type="dxa" w:w="3009"/>
          </w:tcPr>
          <w:p>
            <w:pPr>
              <w:jc w:val="center"/>
            </w:pPr>
            <w:r>
              <w:rPr>
                <w:sz w:val="18"/>
              </w:rPr>
              <w:t>199 mhl</w:t>
            </w:r>
          </w:p>
        </w:tc>
        <w:tc>
          <w:tcPr>
            <w:tcW w:type="dxa" w:w="3009"/>
          </w:tcPr>
          <w:p>
            <w:pPr>
              <w:jc w:val="center"/>
            </w:pPr>
            <w:r>
              <w:rPr>
                <w:sz w:val="18"/>
              </w:rPr>
              <w:t>144 mhl</w:t>
            </w:r>
          </w:p>
        </w:tc>
      </w:tr>
      <w:tr>
        <w:tc>
          <w:tcPr>
            <w:tcW w:type="dxa" w:w="3009"/>
          </w:tcPr>
          <w:p>
            <w:pPr>
              <w:jc w:val="left"/>
            </w:pPr>
            <w:r>
              <w:rPr>
                <w:sz w:val="18"/>
              </w:rPr>
              <w:t>Naive_MA weighted MAE</w:t>
            </w:r>
          </w:p>
        </w:tc>
        <w:tc>
          <w:tcPr>
            <w:tcW w:type="dxa" w:w="3009"/>
          </w:tcPr>
          <w:p>
            <w:pPr>
              <w:jc w:val="center"/>
            </w:pPr>
            <w:r>
              <w:rPr>
                <w:sz w:val="18"/>
              </w:rPr>
              <w:t>195 mhl</w:t>
            </w:r>
          </w:p>
        </w:tc>
        <w:tc>
          <w:tcPr>
            <w:tcW w:type="dxa" w:w="3009"/>
          </w:tcPr>
          <w:p>
            <w:pPr>
              <w:jc w:val="center"/>
            </w:pPr>
            <w:r>
              <w:rPr>
                <w:sz w:val="18"/>
              </w:rPr>
              <w:t>171 mhl</w:t>
            </w:r>
          </w:p>
        </w:tc>
      </w:tr>
      <w:tr>
        <w:tc>
          <w:tcPr>
            <w:tcW w:type="dxa" w:w="3009"/>
          </w:tcPr>
          <w:p>
            <w:pPr>
              <w:jc w:val="left"/>
            </w:pPr>
            <w:r>
              <w:rPr>
                <w:sz w:val="18"/>
              </w:rPr>
            </w:r>
          </w:p>
        </w:tc>
        <w:tc>
          <w:tcPr>
            <w:tcW w:type="dxa" w:w="3009"/>
          </w:tcPr>
          <w:p>
            <w:pPr>
              <w:jc w:val="center"/>
            </w:pPr>
            <w:r>
              <w:rPr>
                <w:sz w:val="18"/>
              </w:rPr>
            </w:r>
          </w:p>
        </w:tc>
        <w:tc>
          <w:tcPr>
            <w:tcW w:type="dxa" w:w="3009"/>
          </w:tcPr>
          <w:p>
            <w:pPr>
              <w:jc w:val="center"/>
            </w:pPr>
            <w:r>
              <w:rPr>
                <w:sz w:val="18"/>
              </w:rPr>
            </w:r>
          </w:p>
        </w:tc>
      </w:tr>
      <w:tr>
        <w:tc>
          <w:tcPr>
            <w:tcW w:type="dxa" w:w="3009"/>
          </w:tcPr>
          <w:p>
            <w:pPr>
              <w:jc w:val="left"/>
            </w:pPr>
            <w:r>
              <w:rPr>
                <w:sz w:val="18"/>
              </w:rPr>
              <w:t>--- DECISION 2: Climate signal ---</w:t>
            </w:r>
          </w:p>
        </w:tc>
        <w:tc>
          <w:tcPr>
            <w:tcW w:type="dxa" w:w="3009"/>
          </w:tcPr>
          <w:p>
            <w:pPr>
              <w:jc w:val="center"/>
            </w:pPr>
            <w:r>
              <w:rPr>
                <w:sz w:val="18"/>
              </w:rPr>
            </w:r>
          </w:p>
        </w:tc>
        <w:tc>
          <w:tcPr>
            <w:tcW w:type="dxa" w:w="3009"/>
          </w:tcPr>
          <w:p>
            <w:pPr>
              <w:jc w:val="center"/>
            </w:pPr>
            <w:r>
              <w:rPr>
                <w:sz w:val="18"/>
              </w:rPr>
            </w:r>
          </w:p>
        </w:tc>
      </w:tr>
      <w:tr>
        <w:tc>
          <w:tcPr>
            <w:tcW w:type="dxa" w:w="3009"/>
          </w:tcPr>
          <w:p>
            <w:pPr>
              <w:jc w:val="left"/>
            </w:pPr>
            <w:r>
              <w:rPr>
                <w:sz w:val="18"/>
              </w:rPr>
              <w:t>Best CarenR weighted MAE</w:t>
            </w:r>
          </w:p>
        </w:tc>
        <w:tc>
          <w:tcPr>
            <w:tcW w:type="dxa" w:w="3009"/>
          </w:tcPr>
          <w:p>
            <w:pPr>
              <w:jc w:val="center"/>
            </w:pPr>
            <w:r>
              <w:rPr>
                <w:sz w:val="18"/>
              </w:rPr>
              <w:t>189 mhl (Eta2)</w:t>
            </w:r>
          </w:p>
        </w:tc>
        <w:tc>
          <w:tcPr>
            <w:tcW w:type="dxa" w:w="3009"/>
          </w:tcPr>
          <w:p>
            <w:pPr>
              <w:jc w:val="center"/>
            </w:pPr>
            <w:r>
              <w:rPr>
                <w:sz w:val="18"/>
              </w:rPr>
              <w:t>172 mhl (Sup_FS)</w:t>
            </w:r>
          </w:p>
        </w:tc>
      </w:tr>
      <w:tr>
        <w:tc>
          <w:tcPr>
            <w:tcW w:type="dxa" w:w="3009"/>
          </w:tcPr>
          <w:p>
            <w:pPr>
              <w:jc w:val="left"/>
            </w:pPr>
            <w:r>
              <w:rPr>
                <w:sz w:val="18"/>
              </w:rPr>
              <w:t>Gap: best CarenR vs Naive_Median</w:t>
            </w:r>
          </w:p>
        </w:tc>
        <w:tc>
          <w:tcPr>
            <w:tcW w:type="dxa" w:w="3009"/>
          </w:tcPr>
          <w:p>
            <w:pPr>
              <w:jc w:val="center"/>
            </w:pPr>
            <w:r>
              <w:rPr>
                <w:sz w:val="18"/>
              </w:rPr>
              <w:t>+5 mhl (+3%)</w:t>
            </w:r>
          </w:p>
        </w:tc>
        <w:tc>
          <w:tcPr>
            <w:tcW w:type="dxa" w:w="3009"/>
          </w:tcPr>
          <w:p>
            <w:pPr>
              <w:jc w:val="center"/>
            </w:pPr>
            <w:r>
              <w:rPr>
                <w:sz w:val="18"/>
              </w:rPr>
              <w:t>+31 mhl (+22%)</w:t>
            </w:r>
          </w:p>
        </w:tc>
      </w:tr>
      <w:tr>
        <w:tc>
          <w:tcPr>
            <w:tcW w:type="dxa" w:w="3009"/>
          </w:tcPr>
          <w:p>
            <w:pPr>
              <w:jc w:val="left"/>
            </w:pPr>
            <w:r>
              <w:rPr>
                <w:sz w:val="18"/>
              </w:rPr>
              <w:t>Scenarios where CarenR beats Naive</w:t>
            </w:r>
          </w:p>
        </w:tc>
        <w:tc>
          <w:tcPr>
            <w:tcW w:type="dxa" w:w="3009"/>
          </w:tcPr>
          <w:p>
            <w:pPr>
              <w:jc w:val="center"/>
            </w:pPr>
            <w:r>
              <w:rPr>
                <w:sz w:val="18"/>
              </w:rPr>
              <w:t>5/18 (scen. 10-14)</w:t>
            </w:r>
          </w:p>
        </w:tc>
        <w:tc>
          <w:tcPr>
            <w:tcW w:type="dxa" w:w="3009"/>
          </w:tcPr>
          <w:p>
            <w:pPr>
              <w:jc w:val="center"/>
            </w:pPr>
            <w:r>
              <w:rPr>
                <w:sz w:val="18"/>
              </w:rPr>
              <w:t>~0/16</w:t>
            </w:r>
          </w:p>
        </w:tc>
      </w:tr>
      <w:tr>
        <w:tc>
          <w:tcPr>
            <w:tcW w:type="dxa" w:w="3009"/>
          </w:tcPr>
          <w:p>
            <w:pPr>
              <w:jc w:val="left"/>
            </w:pPr>
            <w:r>
              <w:rPr>
                <w:sz w:val="18"/>
              </w:rPr>
              <w:t>Post-1990 share at CarenR win zone</w:t>
            </w:r>
          </w:p>
        </w:tc>
        <w:tc>
          <w:tcPr>
            <w:tcW w:type="dxa" w:w="3009"/>
          </w:tcPr>
          <w:p>
            <w:pPr>
              <w:jc w:val="center"/>
            </w:pPr>
            <w:r>
              <w:rPr>
                <w:sz w:val="18"/>
              </w:rPr>
              <w:t>~29-32% of training</w:t>
            </w:r>
          </w:p>
        </w:tc>
        <w:tc>
          <w:tcPr>
            <w:tcW w:type="dxa" w:w="3009"/>
          </w:tcPr>
          <w:p>
            <w:pPr>
              <w:jc w:val="center"/>
            </w:pPr>
            <w:r>
              <w:rPr>
                <w:sz w:val="18"/>
              </w:rPr>
              <w:t>n/a</w:t>
            </w:r>
          </w:p>
        </w:tc>
      </w:tr>
      <w:tr>
        <w:tc>
          <w:tcPr>
            <w:tcW w:type="dxa" w:w="3009"/>
          </w:tcPr>
          <w:p>
            <w:pPr>
              <w:jc w:val="left"/>
            </w:pPr>
            <w:r>
              <w:rPr>
                <w:sz w:val="18"/>
              </w:rPr>
            </w:r>
          </w:p>
        </w:tc>
        <w:tc>
          <w:tcPr>
            <w:tcW w:type="dxa" w:w="3009"/>
          </w:tcPr>
          <w:p>
            <w:pPr>
              <w:jc w:val="center"/>
            </w:pPr>
            <w:r>
              <w:rPr>
                <w:sz w:val="18"/>
              </w:rPr>
            </w:r>
          </w:p>
        </w:tc>
        <w:tc>
          <w:tcPr>
            <w:tcW w:type="dxa" w:w="3009"/>
          </w:tcPr>
          <w:p>
            <w:pPr>
              <w:jc w:val="center"/>
            </w:pPr>
            <w:r>
              <w:rPr>
                <w:sz w:val="18"/>
              </w:rPr>
            </w:r>
          </w:p>
        </w:tc>
      </w:tr>
      <w:tr>
        <w:tc>
          <w:tcPr>
            <w:tcW w:type="dxa" w:w="3009"/>
          </w:tcPr>
          <w:p>
            <w:pPr>
              <w:jc w:val="left"/>
            </w:pPr>
            <w:r>
              <w:rPr>
                <w:sz w:val="18"/>
              </w:rPr>
              <w:t>--- GOAL 1: Rules ---</w:t>
            </w:r>
          </w:p>
        </w:tc>
        <w:tc>
          <w:tcPr>
            <w:tcW w:type="dxa" w:w="3009"/>
          </w:tcPr>
          <w:p>
            <w:pPr>
              <w:jc w:val="center"/>
            </w:pPr>
            <w:r>
              <w:rPr>
                <w:sz w:val="18"/>
              </w:rPr>
            </w:r>
          </w:p>
        </w:tc>
        <w:tc>
          <w:tcPr>
            <w:tcW w:type="dxa" w:w="3009"/>
          </w:tcPr>
          <w:p>
            <w:pPr>
              <w:jc w:val="center"/>
            </w:pPr>
            <w:r>
              <w:rPr>
                <w:sz w:val="18"/>
              </w:rPr>
            </w:r>
          </w:p>
        </w:tc>
      </w:tr>
      <w:tr>
        <w:tc>
          <w:tcPr>
            <w:tcW w:type="dxa" w:w="3009"/>
          </w:tcPr>
          <w:p>
            <w:pPr>
              <w:jc w:val="left"/>
            </w:pPr>
            <w:r>
              <w:rPr>
                <w:sz w:val="18"/>
              </w:rPr>
              <w:t>CarenR rules discovered (full data)</w:t>
            </w:r>
          </w:p>
        </w:tc>
        <w:tc>
          <w:tcPr>
            <w:tcW w:type="dxa" w:w="3009"/>
          </w:tcPr>
          <w:p>
            <w:pPr>
              <w:jc w:val="center"/>
            </w:pPr>
            <w:r>
              <w:rPr>
                <w:sz w:val="18"/>
              </w:rPr>
              <w:t>48 rules</w:t>
            </w:r>
          </w:p>
        </w:tc>
        <w:tc>
          <w:tcPr>
            <w:tcW w:type="dxa" w:w="3009"/>
          </w:tcPr>
          <w:p>
            <w:pPr>
              <w:jc w:val="center"/>
            </w:pPr>
            <w:r>
              <w:rPr>
                <w:sz w:val="18"/>
              </w:rPr>
              <w:t>20 rules</w:t>
            </w:r>
          </w:p>
        </w:tc>
      </w:tr>
      <w:tr>
        <w:tc>
          <w:tcPr>
            <w:tcW w:type="dxa" w:w="3009"/>
          </w:tcPr>
          <w:p>
            <w:pPr>
              <w:jc w:val="left"/>
            </w:pPr>
            <w:r>
              <w:rPr>
                <w:sz w:val="18"/>
              </w:rPr>
              <w:t>Top feature (by frequency)</w:t>
            </w:r>
          </w:p>
        </w:tc>
        <w:tc>
          <w:tcPr>
            <w:tcW w:type="dxa" w:w="3009"/>
          </w:tcPr>
          <w:p>
            <w:pPr>
              <w:jc w:val="center"/>
            </w:pPr>
            <w:r>
              <w:rPr>
                <w:sz w:val="18"/>
              </w:rPr>
              <w:t>swa_hv_y1_b20 (harvest soil water)</w:t>
            </w:r>
          </w:p>
        </w:tc>
        <w:tc>
          <w:tcPr>
            <w:tcW w:type="dxa" w:w="3009"/>
          </w:tcPr>
          <w:p>
            <w:pPr>
              <w:jc w:val="center"/>
            </w:pPr>
            <w:r>
              <w:rPr>
                <w:sz w:val="18"/>
              </w:rPr>
              <w:t>swa_hv_y1_b20</w:t>
            </w:r>
          </w:p>
        </w:tc>
      </w:tr>
      <w:tr>
        <w:tc>
          <w:tcPr>
            <w:tcW w:type="dxa" w:w="3009"/>
          </w:tcPr>
          <w:p>
            <w:pPr>
              <w:jc w:val="left"/>
            </w:pPr>
            <w:r>
              <w:rPr>
                <w:sz w:val="18"/>
              </w:rPr>
              <w:t>Top feature correlation (linear)</w:t>
            </w:r>
          </w:p>
        </w:tc>
        <w:tc>
          <w:tcPr>
            <w:tcW w:type="dxa" w:w="3009"/>
          </w:tcPr>
          <w:p>
            <w:pPr>
              <w:jc w:val="center"/>
            </w:pPr>
            <w:r>
              <w:rPr>
                <w:sz w:val="18"/>
              </w:rPr>
              <w:t>r~0.51</w:t>
            </w:r>
          </w:p>
        </w:tc>
        <w:tc>
          <w:tcPr>
            <w:tcW w:type="dxa" w:w="3009"/>
          </w:tcPr>
          <w:p>
            <w:pPr>
              <w:jc w:val="center"/>
            </w:pPr>
            <w:r>
              <w:rPr>
                <w:sz w:val="18"/>
              </w:rPr>
              <w:t>r~0.51</w:t>
            </w:r>
          </w:p>
        </w:tc>
      </w:tr>
      <w:tr>
        <w:tc>
          <w:tcPr>
            <w:tcW w:type="dxa" w:w="3009"/>
          </w:tcPr>
          <w:p>
            <w:pPr>
              <w:jc w:val="left"/>
            </w:pPr>
            <w:r>
              <w:rPr>
                <w:sz w:val="18"/>
              </w:rPr>
              <w:t>Top feature correlation (LOESS)</w:t>
            </w:r>
          </w:p>
        </w:tc>
        <w:tc>
          <w:tcPr>
            <w:tcW w:type="dxa" w:w="3009"/>
          </w:tcPr>
          <w:p>
            <w:pPr>
              <w:jc w:val="center"/>
            </w:pPr>
            <w:r>
              <w:rPr>
                <w:sz w:val="18"/>
              </w:rPr>
              <w:t>r~0.47</w:t>
            </w:r>
          </w:p>
        </w:tc>
        <w:tc>
          <w:tcPr>
            <w:tcW w:type="dxa" w:w="3009"/>
          </w:tcPr>
          <w:p>
            <w:pPr>
              <w:jc w:val="center"/>
            </w:pPr>
            <w:r>
              <w:rPr>
                <w:sz w:val="18"/>
              </w:rPr>
              <w:t>r~0.47</w:t>
            </w:r>
          </w:p>
        </w:tc>
      </w:tr>
      <w:tr>
        <w:tc>
          <w:tcPr>
            <w:tcW w:type="dxa" w:w="3009"/>
          </w:tcPr>
          <w:p>
            <w:pPr>
              <w:jc w:val="left"/>
            </w:pPr>
            <w:r>
              <w:rPr>
                <w:sz w:val="18"/>
              </w:rPr>
            </w:r>
          </w:p>
        </w:tc>
        <w:tc>
          <w:tcPr>
            <w:tcW w:type="dxa" w:w="3009"/>
          </w:tcPr>
          <w:p>
            <w:pPr>
              <w:jc w:val="center"/>
            </w:pPr>
            <w:r>
              <w:rPr>
                <w:sz w:val="18"/>
              </w:rPr>
            </w:r>
          </w:p>
        </w:tc>
        <w:tc>
          <w:tcPr>
            <w:tcW w:type="dxa" w:w="3009"/>
          </w:tcPr>
          <w:p>
            <w:pPr>
              <w:jc w:val="center"/>
            </w:pPr>
            <w:r>
              <w:rPr>
                <w:sz w:val="18"/>
              </w:rPr>
            </w:r>
          </w:p>
        </w:tc>
      </w:tr>
      <w:tr>
        <w:tc>
          <w:tcPr>
            <w:tcW w:type="dxa" w:w="3009"/>
          </w:tcPr>
          <w:p>
            <w:pPr>
              <w:jc w:val="left"/>
            </w:pPr>
            <w:r>
              <w:rPr>
                <w:sz w:val="18"/>
              </w:rPr>
              <w:t>--- NEGATIVE RESULTS ---</w:t>
            </w:r>
          </w:p>
        </w:tc>
        <w:tc>
          <w:tcPr>
            <w:tcW w:type="dxa" w:w="3009"/>
          </w:tcPr>
          <w:p>
            <w:pPr>
              <w:jc w:val="center"/>
            </w:pPr>
            <w:r>
              <w:rPr>
                <w:sz w:val="18"/>
              </w:rPr>
            </w:r>
          </w:p>
        </w:tc>
        <w:tc>
          <w:tcPr>
            <w:tcW w:type="dxa" w:w="3009"/>
          </w:tcPr>
          <w:p>
            <w:pPr>
              <w:jc w:val="center"/>
            </w:pPr>
            <w:r>
              <w:rPr>
                <w:sz w:val="18"/>
              </w:rPr>
            </w:r>
          </w:p>
        </w:tc>
      </w:tr>
      <w:tr>
        <w:tc>
          <w:tcPr>
            <w:tcW w:type="dxa" w:w="3009"/>
          </w:tcPr>
          <w:p>
            <w:pPr>
              <w:jc w:val="left"/>
            </w:pPr>
            <w:r>
              <w:rPr>
                <w:sz w:val="18"/>
              </w:rPr>
              <w:t>CarenR_Supervised weighted MAE</w:t>
            </w:r>
          </w:p>
        </w:tc>
        <w:tc>
          <w:tcPr>
            <w:tcW w:type="dxa" w:w="3009"/>
          </w:tcPr>
          <w:p>
            <w:pPr>
              <w:jc w:val="center"/>
            </w:pPr>
            <w:r>
              <w:rPr>
                <w:sz w:val="18"/>
              </w:rPr>
              <w:t>240 mhl</w:t>
            </w:r>
          </w:p>
        </w:tc>
        <w:tc>
          <w:tcPr>
            <w:tcW w:type="dxa" w:w="3009"/>
          </w:tcPr>
          <w:p>
            <w:pPr>
              <w:jc w:val="center"/>
            </w:pPr>
            <w:r>
              <w:rPr>
                <w:sz w:val="18"/>
              </w:rPr>
              <w:t>347 mhl</w:t>
            </w:r>
          </w:p>
        </w:tc>
      </w:tr>
      <w:tr>
        <w:tc>
          <w:tcPr>
            <w:tcW w:type="dxa" w:w="3009"/>
          </w:tcPr>
          <w:p>
            <w:pPr>
              <w:jc w:val="left"/>
            </w:pPr>
            <w:r>
              <w:rPr>
                <w:sz w:val="18"/>
              </w:rPr>
              <w:t>RIPPER weighted MAE</w:t>
            </w:r>
          </w:p>
        </w:tc>
        <w:tc>
          <w:tcPr>
            <w:tcW w:type="dxa" w:w="3009"/>
          </w:tcPr>
          <w:p>
            <w:pPr>
              <w:jc w:val="center"/>
            </w:pPr>
            <w:r>
              <w:rPr>
                <w:sz w:val="18"/>
              </w:rPr>
              <w:t>279 mhl</w:t>
            </w:r>
          </w:p>
        </w:tc>
        <w:tc>
          <w:tcPr>
            <w:tcW w:type="dxa" w:w="3009"/>
          </w:tcPr>
          <w:p>
            <w:pPr>
              <w:jc w:val="center"/>
            </w:pPr>
            <w:r>
              <w:rPr>
                <w:sz w:val="18"/>
              </w:rPr>
              <w:t>508 mhl</w:t>
            </w:r>
          </w:p>
        </w:tc>
      </w:tr>
      <w:tr>
        <w:tc>
          <w:tcPr>
            <w:tcW w:type="dxa" w:w="3009"/>
          </w:tcPr>
          <w:p>
            <w:pPr>
              <w:jc w:val="left"/>
            </w:pPr>
            <w:r>
              <w:rPr>
                <w:sz w:val="18"/>
              </w:rPr>
              <w:t>Decision Tree weighted MAE</w:t>
            </w:r>
          </w:p>
        </w:tc>
        <w:tc>
          <w:tcPr>
            <w:tcW w:type="dxa" w:w="3009"/>
          </w:tcPr>
          <w:p>
            <w:pPr>
              <w:jc w:val="center"/>
            </w:pPr>
            <w:r>
              <w:rPr>
                <w:sz w:val="18"/>
              </w:rPr>
              <w:t>250 mhl</w:t>
            </w:r>
          </w:p>
        </w:tc>
        <w:tc>
          <w:tcPr>
            <w:tcW w:type="dxa" w:w="3009"/>
          </w:tcPr>
          <w:p>
            <w:pPr>
              <w:jc w:val="center"/>
            </w:pPr>
            <w:r>
              <w:rPr>
                <w:sz w:val="18"/>
              </w:rPr>
              <w:t>479 mhl</w:t>
            </w:r>
          </w:p>
        </w:tc>
      </w:tr>
      <w:tr>
        <w:tc>
          <w:tcPr>
            <w:tcW w:type="dxa" w:w="3009"/>
          </w:tcPr>
          <w:p>
            <w:pPr>
              <w:jc w:val="left"/>
            </w:pPr>
            <w:r>
              <w:rPr>
                <w:sz w:val="18"/>
              </w:rPr>
              <w:t>M5Rules weighted MAE</w:t>
            </w:r>
          </w:p>
        </w:tc>
        <w:tc>
          <w:tcPr>
            <w:tcW w:type="dxa" w:w="3009"/>
          </w:tcPr>
          <w:p>
            <w:pPr>
              <w:jc w:val="center"/>
            </w:pPr>
            <w:r>
              <w:rPr>
                <w:sz w:val="18"/>
              </w:rPr>
              <w:t>200 mhl</w:t>
            </w:r>
          </w:p>
        </w:tc>
        <w:tc>
          <w:tcPr>
            <w:tcW w:type="dxa" w:w="3009"/>
          </w:tcPr>
          <w:p>
            <w:pPr>
              <w:jc w:val="center"/>
            </w:pPr>
            <w:r>
              <w:rPr>
                <w:sz w:val="18"/>
              </w:rPr>
              <w:t>268 mhl</w:t>
            </w:r>
          </w:p>
        </w:tc>
      </w:tr>
    </w:tbl>
    <w:p>
      <w:r>
        <w:rPr>
          <w:b w:val="0"/>
          <w:i w:val="0"/>
          <w:sz w:val="22"/>
        </w:rPr>
      </w:r>
    </w:p>
    <w:p>
      <w:pPr>
        <w:pStyle w:val="Heading2"/>
      </w:pPr>
      <w:r>
        <w:rPr>
          <w:color w:val="1F497D"/>
        </w:rPr>
        <w:t>18.4 The Era Confound — A Structural Finding, Not a Bug</w:t>
      </w:r>
    </w:p>
    <w:p>
      <w:r>
        <w:rPr>
          <w:b w:val="0"/>
          <w:i w:val="0"/>
          <w:sz w:val="22"/>
        </w:rPr>
        <w:t>A key finding that runs through both goals is that the dataset spans multiple production eras driven by non-climate structural factors (EU accession, industry restructuring, demographic change, portfolio expansion in the Douro). This creates an era confound that interacts with both decisions:</w:t>
      </w:r>
    </w:p>
    <w:p>
      <w:pPr>
        <w:pStyle w:val="ListBullet"/>
      </w:pPr>
      <w:r>
        <w:rPr>
          <w:b w:val="0"/>
          <w:sz w:val="22"/>
        </w:rPr>
        <w:t>For Decision 1: Linear detrending cannot fully capture non-linear structural transitions (the Vinho Verde collapse, the Douro DOC expansion). Residuals in the test period are larger than they would be with a better structural model.</w:t>
      </w:r>
    </w:p>
    <w:p>
      <w:pPr>
        <w:pStyle w:val="ListBullet"/>
      </w:pPr>
      <w:r>
        <w:rPr>
          <w:b w:val="0"/>
          <w:sz w:val="22"/>
        </w:rPr>
        <w:t>For Decision 2: Rules discovered across all eras capture both genuine climate signal AND era membership. In walk-forward prediction, where test years are all in the modern era, the era signal dissolves and only genuine climate signal (~r=0.47, 22% variance) remains — too weak for consistent prediction.</w:t>
      </w:r>
    </w:p>
    <w:p>
      <w:pPr>
        <w:pStyle w:val="ListBullet"/>
      </w:pPr>
      <w:r>
        <w:rPr>
          <w:b w:val="0"/>
          <w:sz w:val="22"/>
        </w:rPr>
        <w:t>The confound is stronger in RVV (65% production decline, structure-driven) than RDD (gradual increase, more climate-visible). This directly explains why CarenR's gap to Naive_Median is 22% in RVV and only 3% in RDD.</w:t>
      </w:r>
    </w:p>
    <w:p>
      <w:r>
        <w:rPr>
          <w:b w:val="0"/>
          <w:i w:val="0"/>
          <w:sz w:val="22"/>
        </w:rPr>
        <w:t>The era confound is not an error in the methodology — it is a genuine property of the data that the thesis must acknowledge and explain. The LOESS investigation strengthens this: removing the era trend (LOESS) preserves the feature rankings (same variables, slightly lower r) but removes enough signal that CAREN cannot form rules. This confirms the identified variables are real, and the era confound inflates their apparent strength but does not invent them.</w:t>
      </w:r>
    </w:p>
    <w:p>
      <w:pPr>
        <w:pStyle w:val="Heading2"/>
      </w:pPr>
      <w:r>
        <w:rPr>
          <w:color w:val="1F497D"/>
        </w:rPr>
        <w:t>18.5 Regional Comparison as a Natural Experiment</w:t>
      </w:r>
    </w:p>
    <w:p>
      <w:r>
        <w:rPr>
          <w:b w:val="0"/>
          <w:i w:val="0"/>
          <w:sz w:val="22"/>
        </w:rPr>
        <w:t>The two-region design provides what is effectively a natural experiment: same methodology, same models, same pipeline — but different structural history and different climate character. The divergent results are informative: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center"/>
            </w:pPr>
            <w:r>
              <w:rPr>
                <w:b/>
                <w:sz w:val="18"/>
              </w:rPr>
              <w:t>Dimension</w:t>
            </w:r>
          </w:p>
        </w:tc>
        <w:tc>
          <w:tcPr>
            <w:tcW w:type="dxa" w:w="2256"/>
          </w:tcPr>
          <w:p>
            <w:pPr>
              <w:jc w:val="center"/>
            </w:pPr>
            <w:r>
              <w:rPr>
                <w:b/>
                <w:sz w:val="18"/>
              </w:rPr>
              <w:t>RDD (Douro)</w:t>
            </w:r>
          </w:p>
        </w:tc>
        <w:tc>
          <w:tcPr>
            <w:tcW w:type="dxa" w:w="2256"/>
          </w:tcPr>
          <w:p>
            <w:pPr>
              <w:jc w:val="center"/>
            </w:pPr>
            <w:r>
              <w:rPr>
                <w:b/>
                <w:sz w:val="18"/>
              </w:rPr>
              <w:t>RVV (Vinho Verde)</w:t>
            </w:r>
          </w:p>
        </w:tc>
        <w:tc>
          <w:tcPr>
            <w:tcW w:type="dxa" w:w="2256"/>
          </w:tcPr>
          <w:p>
            <w:pPr>
              <w:jc w:val="center"/>
            </w:pPr>
            <w:r>
              <w:rPr>
                <w:b/>
                <w:sz w:val="18"/>
              </w:rPr>
              <w:t>Interpretation</w:t>
            </w:r>
          </w:p>
        </w:tc>
      </w:tr>
      <w:tr>
        <w:tc>
          <w:tcPr>
            <w:tcW w:type="dxa" w:w="2256"/>
          </w:tcPr>
          <w:p>
            <w:pPr>
              <w:jc w:val="left"/>
            </w:pPr>
            <w:r>
              <w:rPr>
                <w:sz w:val="18"/>
              </w:rPr>
              <w:t>Production trend</w:t>
            </w:r>
          </w:p>
        </w:tc>
        <w:tc>
          <w:tcPr>
            <w:tcW w:type="dxa" w:w="2256"/>
          </w:tcPr>
          <w:p>
            <w:pPr>
              <w:jc w:val="center"/>
            </w:pPr>
            <w:r>
              <w:rPr>
                <w:sz w:val="18"/>
              </w:rPr>
              <w:t>Increasing (+80%)</w:t>
            </w:r>
          </w:p>
        </w:tc>
        <w:tc>
          <w:tcPr>
            <w:tcW w:type="dxa" w:w="2256"/>
          </w:tcPr>
          <w:p>
            <w:pPr>
              <w:jc w:val="center"/>
            </w:pPr>
            <w:r>
              <w:rPr>
                <w:sz w:val="18"/>
              </w:rPr>
              <w:t>Declining (−65%)</w:t>
            </w:r>
          </w:p>
        </w:tc>
        <w:tc>
          <w:tcPr>
            <w:tcW w:type="dxa" w:w="2256"/>
          </w:tcPr>
          <w:p>
            <w:pPr>
              <w:jc w:val="center"/>
            </w:pPr>
            <w:r>
              <w:rPr>
                <w:sz w:val="18"/>
              </w:rPr>
              <w:t>Different structural drivers; different era confound strength</w:t>
            </w:r>
          </w:p>
        </w:tc>
      </w:tr>
      <w:tr>
        <w:tc>
          <w:tcPr>
            <w:tcW w:type="dxa" w:w="2256"/>
          </w:tcPr>
          <w:p>
            <w:pPr>
              <w:jc w:val="left"/>
            </w:pPr>
            <w:r>
              <w:rPr>
                <w:sz w:val="18"/>
              </w:rPr>
              <w:t>Era confound severity</w:t>
            </w:r>
          </w:p>
        </w:tc>
        <w:tc>
          <w:tcPr>
            <w:tcW w:type="dxa" w:w="2256"/>
          </w:tcPr>
          <w:p>
            <w:pPr>
              <w:jc w:val="center"/>
            </w:pPr>
            <w:r>
              <w:rPr>
                <w:sz w:val="18"/>
              </w:rPr>
              <w:t>Moderate</w:t>
            </w:r>
          </w:p>
        </w:tc>
        <w:tc>
          <w:tcPr>
            <w:tcW w:type="dxa" w:w="2256"/>
          </w:tcPr>
          <w:p>
            <w:pPr>
              <w:jc w:val="center"/>
            </w:pPr>
            <w:r>
              <w:rPr>
                <w:sz w:val="18"/>
              </w:rPr>
              <w:t>Strong</w:t>
            </w:r>
          </w:p>
        </w:tc>
        <w:tc>
          <w:tcPr>
            <w:tcW w:type="dxa" w:w="2256"/>
          </w:tcPr>
          <w:p>
            <w:pPr>
              <w:jc w:val="center"/>
            </w:pPr>
            <w:r>
              <w:rPr>
                <w:sz w:val="18"/>
              </w:rPr>
              <w:t>Explains why CarenR generalises better in Douro</w:t>
            </w:r>
          </w:p>
        </w:tc>
      </w:tr>
      <w:tr>
        <w:tc>
          <w:tcPr>
            <w:tcW w:type="dxa" w:w="2256"/>
          </w:tcPr>
          <w:p>
            <w:pPr>
              <w:jc w:val="left"/>
            </w:pPr>
            <w:r>
              <w:rPr>
                <w:sz w:val="18"/>
              </w:rPr>
              <w:t>Best CarenR vs baseline</w:t>
            </w:r>
          </w:p>
        </w:tc>
        <w:tc>
          <w:tcPr>
            <w:tcW w:type="dxa" w:w="2256"/>
          </w:tcPr>
          <w:p>
            <w:pPr>
              <w:jc w:val="center"/>
            </w:pPr>
            <w:r>
              <w:rPr>
                <w:sz w:val="18"/>
              </w:rPr>
              <w:t>+3% (competitive)</w:t>
            </w:r>
          </w:p>
        </w:tc>
        <w:tc>
          <w:tcPr>
            <w:tcW w:type="dxa" w:w="2256"/>
          </w:tcPr>
          <w:p>
            <w:pPr>
              <w:jc w:val="center"/>
            </w:pPr>
            <w:r>
              <w:rPr>
                <w:sz w:val="18"/>
              </w:rPr>
              <w:t>+22% (poor)</w:t>
            </w:r>
          </w:p>
        </w:tc>
        <w:tc>
          <w:tcPr>
            <w:tcW w:type="dxa" w:w="2256"/>
          </w:tcPr>
          <w:p>
            <w:pPr>
              <w:jc w:val="center"/>
            </w:pPr>
            <w:r>
              <w:rPr>
                <w:sz w:val="18"/>
              </w:rPr>
              <w:t>Climate signal cleaner in Douro's continental climate</w:t>
            </w:r>
          </w:p>
        </w:tc>
      </w:tr>
      <w:tr>
        <w:tc>
          <w:tcPr>
            <w:tcW w:type="dxa" w:w="2256"/>
          </w:tcPr>
          <w:p>
            <w:pPr>
              <w:jc w:val="left"/>
            </w:pPr>
            <w:r>
              <w:rPr>
                <w:sz w:val="18"/>
              </w:rPr>
              <w:t>CarenR winning scenarios</w:t>
            </w:r>
          </w:p>
        </w:tc>
        <w:tc>
          <w:tcPr>
            <w:tcW w:type="dxa" w:w="2256"/>
          </w:tcPr>
          <w:p>
            <w:pPr>
              <w:jc w:val="center"/>
            </w:pPr>
            <w:r>
              <w:rPr>
                <w:sz w:val="18"/>
              </w:rPr>
              <w:t>5/18 (balanced era)</w:t>
            </w:r>
          </w:p>
        </w:tc>
        <w:tc>
          <w:tcPr>
            <w:tcW w:type="dxa" w:w="2256"/>
          </w:tcPr>
          <w:p>
            <w:pPr>
              <w:jc w:val="center"/>
            </w:pPr>
            <w:r>
              <w:rPr>
                <w:sz w:val="18"/>
              </w:rPr>
              <w:t>~0/16</w:t>
            </w:r>
          </w:p>
        </w:tc>
        <w:tc>
          <w:tcPr>
            <w:tcW w:type="dxa" w:w="2256"/>
          </w:tcPr>
          <w:p>
            <w:pPr>
              <w:jc w:val="center"/>
            </w:pPr>
            <w:r>
              <w:rPr>
                <w:sz w:val="18"/>
              </w:rPr>
              <w:t>Confirms era-composition drives CarenR performance</w:t>
            </w:r>
          </w:p>
        </w:tc>
      </w:tr>
      <w:tr>
        <w:tc>
          <w:tcPr>
            <w:tcW w:type="dxa" w:w="2256"/>
          </w:tcPr>
          <w:p>
            <w:pPr>
              <w:jc w:val="left"/>
            </w:pPr>
            <w:r>
              <w:rPr>
                <w:sz w:val="18"/>
              </w:rPr>
              <w:t>Top feature</w:t>
            </w:r>
          </w:p>
        </w:tc>
        <w:tc>
          <w:tcPr>
            <w:tcW w:type="dxa" w:w="2256"/>
          </w:tcPr>
          <w:p>
            <w:pPr>
              <w:jc w:val="center"/>
            </w:pPr>
            <w:r>
              <w:rPr>
                <w:sz w:val="18"/>
              </w:rPr>
              <w:t>Harvest soil water + dry flowering</w:t>
            </w:r>
          </w:p>
        </w:tc>
        <w:tc>
          <w:tcPr>
            <w:tcW w:type="dxa" w:w="2256"/>
          </w:tcPr>
          <w:p>
            <w:pPr>
              <w:jc w:val="center"/>
            </w:pPr>
            <w:r>
              <w:rPr>
                <w:sz w:val="18"/>
              </w:rPr>
              <w:t>Harvest soil water + flowering moisture</w:t>
            </w:r>
          </w:p>
        </w:tc>
        <w:tc>
          <w:tcPr>
            <w:tcW w:type="dxa" w:w="2256"/>
          </w:tcPr>
          <w:p>
            <w:pPr>
              <w:jc w:val="center"/>
            </w:pPr>
            <w:r>
              <w:rPr>
                <w:sz w:val="18"/>
              </w:rPr>
              <w:t>Same biological mechanism, different thresholds</w:t>
            </w:r>
          </w:p>
        </w:tc>
      </w:tr>
      <w:tr>
        <w:tc>
          <w:tcPr>
            <w:tcW w:type="dxa" w:w="2256"/>
          </w:tcPr>
          <w:p>
            <w:pPr>
              <w:jc w:val="left"/>
            </w:pPr>
            <w:r>
              <w:rPr>
                <w:sz w:val="18"/>
              </w:rPr>
              <w:t>RIPPER performance</w:t>
            </w:r>
          </w:p>
        </w:tc>
        <w:tc>
          <w:tcPr>
            <w:tcW w:type="dxa" w:w="2256"/>
          </w:tcPr>
          <w:p>
            <w:pPr>
              <w:jc w:val="center"/>
            </w:pPr>
            <w:r>
              <w:rPr>
                <w:sz w:val="18"/>
              </w:rPr>
              <w:t>279 mhl (reasonable)</w:t>
            </w:r>
          </w:p>
        </w:tc>
        <w:tc>
          <w:tcPr>
            <w:tcW w:type="dxa" w:w="2256"/>
          </w:tcPr>
          <w:p>
            <w:pPr>
              <w:jc w:val="center"/>
            </w:pPr>
            <w:r>
              <w:rPr>
                <w:sz w:val="18"/>
              </w:rPr>
              <w:t>508 mhl (poor)</w:t>
            </w:r>
          </w:p>
        </w:tc>
        <w:tc>
          <w:tcPr>
            <w:tcW w:type="dxa" w:w="2256"/>
          </w:tcPr>
          <w:p>
            <w:pPr>
              <w:jc w:val="center"/>
            </w:pPr>
            <w:r>
              <w:rPr>
                <w:sz w:val="18"/>
              </w:rPr>
              <w:t>Douro has more consistent categorical signal</w:t>
            </w:r>
          </w:p>
        </w:tc>
      </w:tr>
    </w:tbl>
    <w:p>
      <w:r>
        <w:rPr>
          <w:b w:val="0"/>
          <w:i w:val="0"/>
          <w:sz w:val="22"/>
        </w:rPr>
      </w:r>
    </w:p>
    <w:p>
      <w:r>
        <w:rPr>
          <w:b w:val="0"/>
          <w:i w:val="0"/>
          <w:sz w:val="22"/>
        </w:rPr>
        <w:t>The regional comparison is one of the strongest elements of the thesis: it shows the findings are not region-specific accidents but reflect a pattern — the drier, more continental climate (Douro) produces a cleaner agroclimatic signal that survives the era confound better than the wetter, more structurally disrupted Atlantic climate (Vinho Verde).</w:t>
      </w:r>
    </w:p>
    <w:p>
      <w:pPr>
        <w:pStyle w:val="Heading2"/>
      </w:pPr>
      <w:r>
        <w:rPr>
          <w:color w:val="1F497D"/>
        </w:rPr>
        <w:t>18.6 Suggested Thesis Chapter Structure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center"/>
            </w:pPr>
            <w:r>
              <w:rPr>
                <w:b/>
                <w:sz w:val="18"/>
              </w:rPr>
              <w:t>Chapter</w:t>
            </w:r>
          </w:p>
        </w:tc>
        <w:tc>
          <w:tcPr>
            <w:tcW w:type="dxa" w:w="2256"/>
          </w:tcPr>
          <w:p>
            <w:pPr>
              <w:jc w:val="center"/>
            </w:pPr>
            <w:r>
              <w:rPr>
                <w:b/>
                <w:sz w:val="18"/>
              </w:rPr>
              <w:t>Title</w:t>
            </w:r>
          </w:p>
        </w:tc>
        <w:tc>
          <w:tcPr>
            <w:tcW w:type="dxa" w:w="2256"/>
          </w:tcPr>
          <w:p>
            <w:pPr>
              <w:jc w:val="center"/>
            </w:pPr>
            <w:r>
              <w:rPr>
                <w:b/>
                <w:sz w:val="18"/>
              </w:rPr>
              <w:t>Key content</w:t>
            </w:r>
          </w:p>
        </w:tc>
        <w:tc>
          <w:tcPr>
            <w:tcW w:type="dxa" w:w="2256"/>
          </w:tcPr>
          <w:p>
            <w:pPr>
              <w:jc w:val="center"/>
            </w:pPr>
            <w:r>
              <w:rPr>
                <w:b/>
                <w:sz w:val="18"/>
              </w:rPr>
              <w:t>Key numbers to cite</w:t>
            </w:r>
          </w:p>
        </w:tc>
      </w:tr>
      <w:tr>
        <w:tc>
          <w:tcPr>
            <w:tcW w:type="dxa" w:w="2256"/>
          </w:tcPr>
          <w:p>
            <w:pPr>
              <w:jc w:val="left"/>
            </w:pPr>
            <w:r>
              <w:rPr>
                <w:sz w:val="18"/>
              </w:rPr>
              <w:t>3</w:t>
            </w:r>
          </w:p>
        </w:tc>
        <w:tc>
          <w:tcPr>
            <w:tcW w:type="dxa" w:w="2256"/>
          </w:tcPr>
          <w:p>
            <w:pPr>
              <w:jc w:val="center"/>
            </w:pPr>
            <w:r>
              <w:rPr>
                <w:sz w:val="18"/>
              </w:rPr>
              <w:t>Data and Methodology</w:t>
            </w:r>
          </w:p>
        </w:tc>
        <w:tc>
          <w:tcPr>
            <w:tcW w:type="dxa" w:w="2256"/>
          </w:tcPr>
          <w:p>
            <w:pPr>
              <w:jc w:val="center"/>
            </w:pPr>
            <w:r>
              <w:rPr>
                <w:sz w:val="18"/>
              </w:rPr>
              <w:t>Two regions, features, detrend pipeline, walk-forward setup, the two-decision framing (introduce here)</w:t>
            </w:r>
          </w:p>
        </w:tc>
        <w:tc>
          <w:tcPr>
            <w:tcW w:type="dxa" w:w="2256"/>
          </w:tcPr>
          <w:p>
            <w:pPr>
              <w:jc w:val="center"/>
            </w:pPr>
            <w:r>
              <w:rPr>
                <w:sz w:val="18"/>
              </w:rPr>
              <w:t>89/80 years, 17 models, 18/16 scenarios</w:t>
            </w:r>
          </w:p>
        </w:tc>
      </w:tr>
      <w:tr>
        <w:tc>
          <w:tcPr>
            <w:tcW w:type="dxa" w:w="2256"/>
          </w:tcPr>
          <w:p>
            <w:pPr>
              <w:jc w:val="left"/>
            </w:pPr>
            <w:r>
              <w:rPr>
                <w:sz w:val="18"/>
              </w:rPr>
              <w:t>4</w:t>
            </w:r>
          </w:p>
        </w:tc>
        <w:tc>
          <w:tcPr>
            <w:tcW w:type="dxa" w:w="2256"/>
          </w:tcPr>
          <w:p>
            <w:pPr>
              <w:jc w:val="center"/>
            </w:pPr>
            <w:r>
              <w:rPr>
                <w:sz w:val="18"/>
              </w:rPr>
              <w:t>Goal 1 — Rule Discovery</w:t>
            </w:r>
          </w:p>
        </w:tc>
        <w:tc>
          <w:tcPr>
            <w:tcW w:type="dxa" w:w="2256"/>
          </w:tcPr>
          <w:p>
            <w:pPr>
              <w:jc w:val="center"/>
            </w:pPr>
            <w:r>
              <w:rPr>
                <w:sz w:val="18"/>
              </w:rPr>
              <w:t>CarenR rules (48 RDD, 20 RVV), RIPPER, M5Rules; harvest soil water and flowering moisture as drivers; LOESS validation that variables are genuine; detrend method discussion (linear correct for Goal 1)</w:t>
            </w:r>
          </w:p>
        </w:tc>
        <w:tc>
          <w:tcPr>
            <w:tcW w:type="dxa" w:w="2256"/>
          </w:tcPr>
          <w:p>
            <w:pPr>
              <w:jc w:val="center"/>
            </w:pPr>
            <w:r>
              <w:rPr>
                <w:sz w:val="18"/>
              </w:rPr>
              <w:t>r~0.47 under LOESS, 48+20 rules, top features</w:t>
            </w:r>
          </w:p>
        </w:tc>
      </w:tr>
      <w:tr>
        <w:tc>
          <w:tcPr>
            <w:tcW w:type="dxa" w:w="2256"/>
          </w:tcPr>
          <w:p>
            <w:pPr>
              <w:jc w:val="left"/>
            </w:pPr>
            <w:r>
              <w:rPr>
                <w:sz w:val="18"/>
              </w:rPr>
              <w:t>5</w:t>
            </w:r>
          </w:p>
        </w:tc>
        <w:tc>
          <w:tcPr>
            <w:tcW w:type="dxa" w:w="2256"/>
          </w:tcPr>
          <w:p>
            <w:pPr>
              <w:jc w:val="center"/>
            </w:pPr>
            <w:r>
              <w:rPr>
                <w:sz w:val="18"/>
              </w:rPr>
              <w:t>Goal 2 — Predictive Evaluation</w:t>
            </w:r>
          </w:p>
        </w:tc>
        <w:tc>
          <w:tcPr>
            <w:tcW w:type="dxa" w:w="2256"/>
          </w:tcPr>
          <w:p>
            <w:pPr>
              <w:jc w:val="center"/>
            </w:pPr>
            <w:r>
              <w:rPr>
                <w:sz w:val="18"/>
              </w:rPr>
              <w:t>Walk-forward results; two-decision decomposition; era composition and per-scenario analysis; regional comparison (3% vs 22% gap); supervised discretization negative result; CarenR winning in balanced-era scenarios</w:t>
            </w:r>
          </w:p>
        </w:tc>
        <w:tc>
          <w:tcPr>
            <w:tcW w:type="dxa" w:w="2256"/>
          </w:tcPr>
          <w:p>
            <w:pPr>
              <w:jc w:val="center"/>
            </w:pPr>
            <w:r>
              <w:rPr>
                <w:sz w:val="18"/>
              </w:rPr>
              <w:t>184/140 mhl baselines, 3% vs 22%, 5/18 win scenarios</w:t>
            </w:r>
          </w:p>
        </w:tc>
      </w:tr>
      <w:tr>
        <w:tc>
          <w:tcPr>
            <w:tcW w:type="dxa" w:w="2256"/>
          </w:tcPr>
          <w:p>
            <w:pPr>
              <w:jc w:val="left"/>
            </w:pPr>
            <w:r>
              <w:rPr>
                <w:sz w:val="18"/>
              </w:rPr>
              <w:t>6</w:t>
            </w:r>
          </w:p>
        </w:tc>
        <w:tc>
          <w:tcPr>
            <w:tcW w:type="dxa" w:w="2256"/>
          </w:tcPr>
          <w:p>
            <w:pPr>
              <w:jc w:val="center"/>
            </w:pPr>
            <w:r>
              <w:rPr>
                <w:sz w:val="18"/>
              </w:rPr>
              <w:t>Discussion</w:t>
            </w:r>
          </w:p>
        </w:tc>
        <w:tc>
          <w:tcPr>
            <w:tcW w:type="dxa" w:w="2256"/>
          </w:tcPr>
          <w:p>
            <w:pPr>
              <w:jc w:val="center"/>
            </w:pPr>
            <w:r>
              <w:rPr>
                <w:sz w:val="18"/>
              </w:rPr>
              <w:t>Why the same rules that explain cannot reliably predict; era confound mechanism; detrend trade-off; structural vs climate drivers of production eras; what would change with more data or structural covariates</w:t>
            </w:r>
          </w:p>
        </w:tc>
        <w:tc>
          <w:tcPr>
            <w:tcW w:type="dxa" w:w="2256"/>
          </w:tcPr>
          <w:p>
            <w:pPr>
              <w:jc w:val="center"/>
            </w:pPr>
            <w:r>
              <w:rPr>
                <w:sz w:val="18"/>
              </w:rPr>
              <w:t>r~0.47 signal strength, era composition table</w:t>
            </w:r>
          </w:p>
        </w:tc>
      </w:tr>
      <w:tr>
        <w:tc>
          <w:tcPr>
            <w:tcW w:type="dxa" w:w="2256"/>
          </w:tcPr>
          <w:p>
            <w:pPr>
              <w:jc w:val="left"/>
            </w:pPr>
            <w:r>
              <w:rPr>
                <w:sz w:val="18"/>
              </w:rPr>
              <w:t>7</w:t>
            </w:r>
          </w:p>
        </w:tc>
        <w:tc>
          <w:tcPr>
            <w:tcW w:type="dxa" w:w="2256"/>
          </w:tcPr>
          <w:p>
            <w:pPr>
              <w:jc w:val="center"/>
            </w:pPr>
            <w:r>
              <w:rPr>
                <w:sz w:val="18"/>
              </w:rPr>
              <w:t>Conclusions</w:t>
            </w:r>
          </w:p>
        </w:tc>
        <w:tc>
          <w:tcPr>
            <w:tcW w:type="dxa" w:w="2256"/>
          </w:tcPr>
          <w:p>
            <w:pPr>
              <w:jc w:val="center"/>
            </w:pPr>
            <w:r>
              <w:rPr>
                <w:sz w:val="18"/>
              </w:rPr>
              <w:t>Two-part finding: Goal 1 achieved, Goal 2 not achieved in aggregate but partially achieved in balanced-era scenarios; the detrend trade-off as the core technical tension; future work: structural detrending, longer time series</w:t>
            </w:r>
          </w:p>
        </w:tc>
        <w:tc>
          <w:tcPr>
            <w:tcW w:type="dxa" w:w="2256"/>
          </w:tcPr>
          <w:p>
            <w:pPr>
              <w:jc w:val="center"/>
            </w:pPr>
            <w:r>
              <w:rPr>
                <w:sz w:val="18"/>
              </w:rPr>
              <w:t>The three-part thesis sentence from Section 14.6</w:t>
            </w:r>
          </w:p>
        </w:tc>
      </w:tr>
    </w:tbl>
    <w:p>
      <w:r>
        <w:rPr>
          <w:b w:val="0"/>
          <w:i w:val="0"/>
          <w:sz w:val="22"/>
        </w:rPr>
      </w:r>
    </w:p>
    <w:p>
      <w:pPr>
        <w:pStyle w:val="Heading2"/>
      </w:pPr>
      <w:r>
        <w:rPr>
          <w:color w:val="1F497D"/>
        </w:rPr>
        <w:t>18.7 The Core Thesis Sentence</w:t>
      </w:r>
    </w:p>
    <w:p>
      <w:r>
        <w:rPr>
          <w:b w:val="0"/>
          <w:i w:val="0"/>
          <w:sz w:val="22"/>
        </w:rPr>
        <w:t>This sentence from Section 14.6 should appear in the Abstract and Conclusion and should frame the entire thesis:</w:t>
      </w:r>
    </w:p>
    <w:p>
      <w:r>
        <w:rPr>
          <w:b w:val="0"/>
          <w:i/>
          <w:sz w:val="22"/>
        </w:rPr>
        <w:t>CarenR discovers historically valid agroclimatic rules that elegantly explain which climate conditions produced above and below-trend harvests across 80 years of history in the Douro Valley and Vinho Verde regions — but those same rules cannot reliably predict the next harvest in aggregate, not because they are wrong, but because the prediction task requires simultaneously solving two technical problems (trend modelling and climate signal extraction) whose demands are in tension with each other given the current dataset. In the Douro, where the climate signal is less contaminated by structural era effects, CarenR does beat the naive baseline in scenarios where training data is era-balanced — pointing to the conditions under which rule-based prediction could succeed with richer structural covariates or a longer time series.</w:t>
      </w:r>
    </w:p>
    <w:p>
      <w:pPr>
        <w:pStyle w:val="Heading2"/>
      </w:pPr>
      <w:r>
        <w:rPr>
          <w:color w:val="1F497D"/>
        </w:rPr>
        <w:t>18.8 What Would Change the Conclusion — Future Work Directions</w:t>
      </w:r>
    </w:p>
    <w:p>
      <w:r>
        <w:rPr>
          <w:b w:val="0"/>
          <w:i w:val="0"/>
          <w:sz w:val="22"/>
        </w:rPr>
        <w:t>The thesis conclusion is conditional on the current data and methodology. The following changes could alter it — and should be discussed as future work:</w:t>
      </w:r>
    </w:p>
    <w:p>
      <w:pPr>
        <w:pStyle w:val="ListBullet"/>
      </w:pPr>
      <w:r>
        <w:rPr>
          <w:b w:val="0"/>
          <w:sz w:val="22"/>
        </w:rPr>
        <w:t>Structural detrending: if planted area, number of certified producers, or Port quota levels are incorporated as detrending covariates alongside time, the residuals would separate structural from climate signal more cleanly. CarenR would then discover rules with less era contamination, and the detrend trade-off could be partially resolved.</w:t>
      </w:r>
    </w:p>
    <w:p>
      <w:pPr>
        <w:pStyle w:val="ListBullet"/>
      </w:pPr>
      <w:r>
        <w:rPr>
          <w:b w:val="0"/>
          <w:sz w:val="22"/>
        </w:rPr>
        <w:t>Longer time series: the walk-forward evaluation is dominated by early scenarios where era confound is strongest. As the modern (post-1990) era accumulates more years of data, the era-balanced region of the walk-forward sequence (where CarenR wins) would occupy more scenarios and carry more weight in the aggregate metric.</w:t>
      </w:r>
    </w:p>
    <w:p>
      <w:pPr>
        <w:pStyle w:val="ListBullet"/>
      </w:pPr>
      <w:r>
        <w:rPr>
          <w:b w:val="0"/>
          <w:sz w:val="22"/>
        </w:rPr>
        <w:t>Higher-resolution climate data: the current features are regional aggregates. Within-region spatial variation (south-facing vs north-facing vineyards, altitude, soil type) could sharpen the climate signal and enable more precise rule discovery.</w:t>
      </w:r>
    </w:p>
    <w:p>
      <w:pPr>
        <w:pStyle w:val="ListBullet"/>
      </w:pPr>
      <w:r>
        <w:rPr>
          <w:b w:val="0"/>
          <w:sz w:val="22"/>
        </w:rPr>
        <w:t>Classification approach (deferred): CarenR_Assoc (association rule classification) was not fully evaluated due to factor-level alignment issues in the walk-forward context. A properly implemented classification pipeline could be compared with the distributional approach.</w:t>
      </w:r>
    </w:p>
    <w:p>
      <w:r>
        <w:br w:type="page"/>
      </w:r>
    </w:p>
    <w:p>
      <w:pPr>
        <w:pStyle w:val="Heading1"/>
      </w:pPr>
      <w:r>
        <w:rPr>
          <w:color w:val="1F497D"/>
        </w:rPr>
        <w:t>19. RVV Per-Scenario Era Analysis — The Contrast with RDD</w:t>
      </w:r>
    </w:p>
    <w:p>
      <w:r>
        <w:rPr>
          <w:b w:val="0"/>
          <w:i w:val="0"/>
          <w:sz w:val="22"/>
        </w:rPr>
        <w:t>The same era-composition analysis applied to RDD in Section 15 is repeated here for RVV to test whether the same pattern holds: does CarenR improve as more post-1990 data enters training?</w:t>
      </w:r>
    </w:p>
    <w:p>
      <w:pPr>
        <w:pStyle w:val="Heading2"/>
      </w:pPr>
      <w:r>
        <w:rPr>
          <w:color w:val="1F497D"/>
        </w:rPr>
        <w:t>19.1 Results</w:t>
      </w:r>
    </w:p>
    <w:p>
      <w:r>
        <w:rPr>
          <w:b w:val="0"/>
          <w:i w:val="0"/>
          <w:sz w:val="22"/>
        </w:rPr>
        <w:t>Across all 16 RVV scenarios, CarenR_Dist_Sup_FS (best RVV CarenR) vs Naive_Median:</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center"/>
            </w:pPr>
            <w:r>
              <w:rPr>
                <w:b/>
                <w:sz w:val="18"/>
              </w:rPr>
              <w:t>Outcome</w:t>
            </w:r>
          </w:p>
        </w:tc>
        <w:tc>
          <w:tcPr>
            <w:tcW w:type="dxa" w:w="3009"/>
          </w:tcPr>
          <w:p>
            <w:pPr>
              <w:jc w:val="center"/>
            </w:pPr>
            <w:r>
              <w:rPr>
                <w:b/>
                <w:sz w:val="18"/>
              </w:rPr>
              <w:t>Count</w:t>
            </w:r>
          </w:p>
        </w:tc>
        <w:tc>
          <w:tcPr>
            <w:tcW w:type="dxa" w:w="3009"/>
          </w:tcPr>
          <w:p>
            <w:pPr>
              <w:jc w:val="center"/>
            </w:pPr>
            <w:r>
              <w:rPr>
                <w:b/>
                <w:sz w:val="18"/>
              </w:rPr>
              <w:t>Meaning</w:t>
            </w:r>
          </w:p>
        </w:tc>
      </w:tr>
      <w:tr>
        <w:tc>
          <w:tcPr>
            <w:tcW w:type="dxa" w:w="3009"/>
          </w:tcPr>
          <w:p>
            <w:pPr>
              <w:jc w:val="left"/>
            </w:pPr>
            <w:r>
              <w:rPr>
                <w:sz w:val="18"/>
              </w:rPr>
              <w:t>Identical to Naive_Median (fallback)</w:t>
            </w:r>
          </w:p>
        </w:tc>
        <w:tc>
          <w:tcPr>
            <w:tcW w:type="dxa" w:w="3009"/>
          </w:tcPr>
          <w:p>
            <w:pPr>
              <w:jc w:val="center"/>
            </w:pPr>
            <w:r>
              <w:rPr>
                <w:sz w:val="18"/>
              </w:rPr>
              <w:t>7 / 16</w:t>
            </w:r>
          </w:p>
        </w:tc>
        <w:tc>
          <w:tcPr>
            <w:tcW w:type="dxa" w:w="3009"/>
          </w:tcPr>
          <w:p>
            <w:pPr>
              <w:jc w:val="center"/>
            </w:pPr>
            <w:r>
              <w:rPr>
                <w:sz w:val="18"/>
              </w:rPr>
              <w:t>No rules fired — CarenR predicted training median, same as Naive_Median</w:t>
            </w:r>
          </w:p>
        </w:tc>
      </w:tr>
      <w:tr>
        <w:tc>
          <w:tcPr>
            <w:tcW w:type="dxa" w:w="3009"/>
          </w:tcPr>
          <w:p>
            <w:pPr>
              <w:jc w:val="left"/>
            </w:pPr>
            <w:r>
              <w:rPr>
                <w:color w:val="C00000"/>
                <w:sz w:val="18"/>
              </w:rPr>
              <w:t>Worse than Naive_Median</w:t>
            </w:r>
          </w:p>
        </w:tc>
        <w:tc>
          <w:tcPr>
            <w:tcW w:type="dxa" w:w="3009"/>
          </w:tcPr>
          <w:p>
            <w:pPr>
              <w:jc w:val="center"/>
            </w:pPr>
            <w:r>
              <w:rPr>
                <w:color w:val="C00000"/>
                <w:sz w:val="18"/>
              </w:rPr>
              <w:t>9 / 16</w:t>
            </w:r>
          </w:p>
        </w:tc>
        <w:tc>
          <w:tcPr>
            <w:tcW w:type="dxa" w:w="3009"/>
          </w:tcPr>
          <w:p>
            <w:pPr>
              <w:jc w:val="center"/>
            </w:pPr>
            <w:r>
              <w:rPr>
                <w:color w:val="C00000"/>
                <w:sz w:val="18"/>
              </w:rPr>
              <w:t>Rules fired but hurt prediction — harmful rules applied</w:t>
            </w:r>
          </w:p>
        </w:tc>
      </w:tr>
      <w:tr>
        <w:tc>
          <w:tcPr>
            <w:tcW w:type="dxa" w:w="3009"/>
          </w:tcPr>
          <w:p>
            <w:pPr>
              <w:jc w:val="left"/>
            </w:pPr>
            <w:r>
              <w:rPr>
                <w:color w:val="1F7A3C"/>
                <w:sz w:val="18"/>
              </w:rPr>
              <w:t>Better than Naive_Median</w:t>
            </w:r>
          </w:p>
        </w:tc>
        <w:tc>
          <w:tcPr>
            <w:tcW w:type="dxa" w:w="3009"/>
          </w:tcPr>
          <w:p>
            <w:pPr>
              <w:jc w:val="center"/>
            </w:pPr>
            <w:r>
              <w:rPr>
                <w:color w:val="1F7A3C"/>
                <w:sz w:val="18"/>
              </w:rPr>
              <w:t>0 / 16</w:t>
            </w:r>
          </w:p>
        </w:tc>
        <w:tc>
          <w:tcPr>
            <w:tcW w:type="dxa" w:w="3009"/>
          </w:tcPr>
          <w:p>
            <w:pPr>
              <w:jc w:val="center"/>
            </w:pPr>
            <w:r>
              <w:rPr>
                <w:color w:val="1F7A3C"/>
                <w:sz w:val="18"/>
              </w:rPr>
              <w:t>CarenR never beats the naive baseline in any RVV scenario</w:t>
            </w:r>
          </w:p>
        </w:tc>
      </w:tr>
    </w:tbl>
    <w:p>
      <w:r>
        <w:rPr>
          <w:b w:val="0"/>
          <w:i w:val="0"/>
          <w:sz w:val="22"/>
        </w:rPr>
      </w:r>
    </w:p>
    <w:p>
      <w:r>
        <w:rPr>
          <w:b w:val="0"/>
          <w:i w:val="0"/>
          <w:sz w:val="22"/>
        </w:rPr>
        <w:t>Unlike RDD (where CarenR wins 5/18 scenarios once era-balance reaches ~29%), RVV shows zero wins across all 16 scenarios. More strikingly, the direction of the effect is OPPOSITE to RDD:</w:t>
      </w:r>
    </w:p>
    <w:p>
      <w:pPr>
        <w:pStyle w:val="ListBullet"/>
      </w:pPr>
      <w:r>
        <w:rPr>
          <w:b w:val="0"/>
          <w:sz w:val="22"/>
        </w:rPr>
        <w:t>RDD: CarenR improves relative to Naive_Median as post-1990 share grows (from losing by +16 mhl in scenario 1 to winning by −32 mhl in scenario 13)</w:t>
      </w:r>
    </w:p>
    <w:p>
      <w:pPr>
        <w:pStyle w:val="ListBullet"/>
      </w:pPr>
      <w:r>
        <w:rPr>
          <w:b w:val="0"/>
          <w:sz w:val="22"/>
        </w:rPr>
        <w:t>RVV: CarenR degrades relative to Naive_Median as post-1990 share grows (from ≈0 mhl gap in scenario 1 to +82 mhl gap in scenario 11). More modern era data makes CarenR WORSE in Vinho Verde.</w:t>
      </w:r>
    </w:p>
    <w:p>
      <w:pPr>
        <w:pStyle w:val="Heading2"/>
      </w:pPr>
      <w:r>
        <w:rPr>
          <w:color w:val="1F497D"/>
        </w:rPr>
        <w:t>19.2 Why RVV Degrades While RDD Improves</w:t>
      </w:r>
    </w:p>
    <w:p>
      <w:r>
        <w:rPr>
          <w:b w:val="0"/>
          <w:i w:val="0"/>
          <w:sz w:val="22"/>
        </w:rPr>
        <w:t>The degradation in RVV reflects a fundamentally different underlying structure:</w:t>
      </w:r>
    </w:p>
    <w:p>
      <w:pPr>
        <w:pStyle w:val="ListBullet"/>
      </w:pPr>
      <w:r>
        <w:rPr>
          <w:b w:val="0"/>
          <w:sz w:val="22"/>
        </w:rPr>
        <w:t>In RDD, adding post-1990 data reduces the era confound in training bins. The rules CarenR discovers become more representative of the modern era and generalise better to test years. A genuine climate signal exists and becomes more visible as the training distribution stabilises.</w:t>
      </w:r>
    </w:p>
    <w:p>
      <w:pPr>
        <w:pStyle w:val="ListBullet"/>
      </w:pPr>
      <w:r>
        <w:rPr>
          <w:b w:val="0"/>
          <w:sz w:val="22"/>
        </w:rPr>
        <w:t>In RVV, the climate signal is weaker to begin with (r~0.47, same as RDD) BUT the structural disruption (65% production decline) is far more severe. As more modern low-production years enter training, the production distribution CarenR is trained on shifts substantially. Rules learned on the evolving training distribution become increasingly mismatched to test-year conditions. The 9 scenarios where rules fire and hurt prediction show that CarenR is finding and applying era-specific patterns that do not transfer.</w:t>
      </w:r>
    </w:p>
    <w:p>
      <w:pPr>
        <w:pStyle w:val="ListBullet"/>
      </w:pPr>
      <w:r>
        <w:rPr>
          <w:b w:val="0"/>
          <w:sz w:val="22"/>
        </w:rPr>
        <w:t>The 7 fallback scenarios (identical to Naive_Median) are actually CarenR behaving correctly: it finds no applicable rules and falls back to the training median, which is the safest prediction. The 9 harmful scenarios are where it finds rules that look locally valid but are not.</w:t>
      </w:r>
    </w:p>
    <w:p>
      <w:pPr>
        <w:pStyle w:val="Heading2"/>
      </w:pPr>
      <w:r>
        <w:rPr>
          <w:color w:val="1F497D"/>
        </w:rPr>
        <w:t>19.3 The Definitive RDD vs RVV Contrast</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center"/>
            </w:pPr>
            <w:r>
              <w:rPr>
                <w:b/>
                <w:sz w:val="18"/>
              </w:rPr>
              <w:t>Dimension</w:t>
            </w:r>
          </w:p>
        </w:tc>
        <w:tc>
          <w:tcPr>
            <w:tcW w:type="dxa" w:w="3009"/>
          </w:tcPr>
          <w:p>
            <w:pPr>
              <w:jc w:val="center"/>
            </w:pPr>
            <w:r>
              <w:rPr>
                <w:b/>
                <w:sz w:val="18"/>
              </w:rPr>
              <w:t>RDD — Douro</w:t>
            </w:r>
          </w:p>
        </w:tc>
        <w:tc>
          <w:tcPr>
            <w:tcW w:type="dxa" w:w="3009"/>
          </w:tcPr>
          <w:p>
            <w:pPr>
              <w:jc w:val="center"/>
            </w:pPr>
            <w:r>
              <w:rPr>
                <w:b/>
                <w:sz w:val="18"/>
              </w:rPr>
              <w:t>RVV — Vinho Verde</w:t>
            </w:r>
          </w:p>
        </w:tc>
      </w:tr>
      <w:tr>
        <w:tc>
          <w:tcPr>
            <w:tcW w:type="dxa" w:w="3009"/>
          </w:tcPr>
          <w:p>
            <w:pPr>
              <w:jc w:val="left"/>
            </w:pPr>
            <w:r>
              <w:rPr>
                <w:sz w:val="18"/>
              </w:rPr>
              <w:t>CarenR wins in how many scenarios?</w:t>
            </w:r>
          </w:p>
        </w:tc>
        <w:tc>
          <w:tcPr>
            <w:tcW w:type="dxa" w:w="3009"/>
          </w:tcPr>
          <w:p>
            <w:pPr>
              <w:jc w:val="center"/>
            </w:pPr>
            <w:r>
              <w:rPr>
                <w:sz w:val="18"/>
              </w:rPr>
              <w:t>5 / 18</w:t>
            </w:r>
          </w:p>
        </w:tc>
        <w:tc>
          <w:tcPr>
            <w:tcW w:type="dxa" w:w="3009"/>
          </w:tcPr>
          <w:p>
            <w:pPr>
              <w:jc w:val="center"/>
            </w:pPr>
            <w:r>
              <w:rPr>
                <w:sz w:val="18"/>
              </w:rPr>
              <w:t>0 / 16</w:t>
            </w:r>
          </w:p>
        </w:tc>
      </w:tr>
      <w:tr>
        <w:tc>
          <w:tcPr>
            <w:tcW w:type="dxa" w:w="3009"/>
          </w:tcPr>
          <w:p>
            <w:pPr>
              <w:jc w:val="left"/>
            </w:pPr>
            <w:r>
              <w:rPr>
                <w:sz w:val="18"/>
              </w:rPr>
              <w:t>When era-balance reaches ~29%+ post-1990...</w:t>
            </w:r>
          </w:p>
        </w:tc>
        <w:tc>
          <w:tcPr>
            <w:tcW w:type="dxa" w:w="3009"/>
          </w:tcPr>
          <w:p>
            <w:pPr>
              <w:jc w:val="center"/>
            </w:pPr>
            <w:r>
              <w:rPr>
                <w:sz w:val="18"/>
              </w:rPr>
              <w:t>CarenR starts winning consistently</w:t>
            </w:r>
          </w:p>
        </w:tc>
        <w:tc>
          <w:tcPr>
            <w:tcW w:type="dxa" w:w="3009"/>
          </w:tcPr>
          <w:p>
            <w:pPr>
              <w:jc w:val="center"/>
            </w:pPr>
            <w:r>
              <w:rPr>
                <w:sz w:val="18"/>
              </w:rPr>
              <w:t>CarenR continues losing, gets worse</w:t>
            </w:r>
          </w:p>
        </w:tc>
      </w:tr>
      <w:tr>
        <w:tc>
          <w:tcPr>
            <w:tcW w:type="dxa" w:w="3009"/>
          </w:tcPr>
          <w:p>
            <w:pPr>
              <w:jc w:val="left"/>
            </w:pPr>
            <w:r>
              <w:rPr>
                <w:sz w:val="18"/>
              </w:rPr>
              <w:t>Fallback to median (no rules fire)</w:t>
            </w:r>
          </w:p>
        </w:tc>
        <w:tc>
          <w:tcPr>
            <w:tcW w:type="dxa" w:w="3009"/>
          </w:tcPr>
          <w:p>
            <w:pPr>
              <w:jc w:val="center"/>
            </w:pPr>
            <w:r>
              <w:rPr>
                <w:sz w:val="18"/>
              </w:rPr>
              <w:t>Rare</w:t>
            </w:r>
          </w:p>
        </w:tc>
        <w:tc>
          <w:tcPr>
            <w:tcW w:type="dxa" w:w="3009"/>
          </w:tcPr>
          <w:p>
            <w:pPr>
              <w:jc w:val="center"/>
            </w:pPr>
            <w:r>
              <w:rPr>
                <w:sz w:val="18"/>
              </w:rPr>
              <w:t>7/16 scenarios (44%)</w:t>
            </w:r>
          </w:p>
        </w:tc>
      </w:tr>
      <w:tr>
        <w:tc>
          <w:tcPr>
            <w:tcW w:type="dxa" w:w="3009"/>
          </w:tcPr>
          <w:p>
            <w:pPr>
              <w:jc w:val="left"/>
            </w:pPr>
            <w:r>
              <w:rPr>
                <w:sz w:val="18"/>
              </w:rPr>
              <w:t>Rules fire but hurt prediction</w:t>
            </w:r>
          </w:p>
        </w:tc>
        <w:tc>
          <w:tcPr>
            <w:tcW w:type="dxa" w:w="3009"/>
          </w:tcPr>
          <w:p>
            <w:pPr>
              <w:jc w:val="center"/>
            </w:pPr>
            <w:r>
              <w:rPr>
                <w:sz w:val="18"/>
              </w:rPr>
              <w:t>Some early scenarios</w:t>
            </w:r>
          </w:p>
        </w:tc>
        <w:tc>
          <w:tcPr>
            <w:tcW w:type="dxa" w:w="3009"/>
          </w:tcPr>
          <w:p>
            <w:pPr>
              <w:jc w:val="center"/>
            </w:pPr>
            <w:r>
              <w:rPr>
                <w:sz w:val="18"/>
              </w:rPr>
              <w:t>9/16 scenarios (56%)</w:t>
            </w:r>
          </w:p>
        </w:tc>
      </w:tr>
      <w:tr>
        <w:tc>
          <w:tcPr>
            <w:tcW w:type="dxa" w:w="3009"/>
          </w:tcPr>
          <w:p>
            <w:pPr>
              <w:jc w:val="left"/>
            </w:pPr>
            <w:r>
              <w:rPr>
                <w:sz w:val="18"/>
              </w:rPr>
              <w:t>Interpretation</w:t>
            </w:r>
          </w:p>
        </w:tc>
        <w:tc>
          <w:tcPr>
            <w:tcW w:type="dxa" w:w="3009"/>
          </w:tcPr>
          <w:p>
            <w:pPr>
              <w:jc w:val="center"/>
            </w:pPr>
            <w:r>
              <w:rPr>
                <w:sz w:val="18"/>
              </w:rPr>
              <w:t>Genuine climate signal exists — era-balanced training helps it emerge</w:t>
            </w:r>
          </w:p>
        </w:tc>
        <w:tc>
          <w:tcPr>
            <w:tcW w:type="dxa" w:w="3009"/>
          </w:tcPr>
          <w:p>
            <w:pPr>
              <w:jc w:val="center"/>
            </w:pPr>
            <w:r>
              <w:rPr>
                <w:sz w:val="18"/>
              </w:rPr>
              <w:t>Signal is weaker and/or more era-confounded — adding modern data does not stabilise the rules</w:t>
            </w:r>
          </w:p>
        </w:tc>
      </w:tr>
      <w:tr>
        <w:tc>
          <w:tcPr>
            <w:tcW w:type="dxa" w:w="3009"/>
          </w:tcPr>
          <w:p>
            <w:pPr>
              <w:jc w:val="left"/>
            </w:pPr>
            <w:r>
              <w:rPr>
                <w:sz w:val="18"/>
              </w:rPr>
              <w:t>Thesis conclusion</w:t>
            </w:r>
          </w:p>
        </w:tc>
        <w:tc>
          <w:tcPr>
            <w:tcW w:type="dxa" w:w="3009"/>
          </w:tcPr>
          <w:p>
            <w:pPr>
              <w:jc w:val="center"/>
            </w:pPr>
            <w:r>
              <w:rPr>
                <w:sz w:val="18"/>
              </w:rPr>
              <w:t>CarenR partially works under right conditions</w:t>
            </w:r>
          </w:p>
        </w:tc>
        <w:tc>
          <w:tcPr>
            <w:tcW w:type="dxa" w:w="3009"/>
          </w:tcPr>
          <w:p>
            <w:pPr>
              <w:jc w:val="center"/>
            </w:pPr>
            <w:r>
              <w:rPr>
                <w:sz w:val="18"/>
              </w:rPr>
              <w:t>CarenR does not work in any scenario configuration tested</w:t>
            </w:r>
          </w:p>
        </w:tc>
      </w:tr>
    </w:tbl>
    <w:p>
      <w:r>
        <w:rPr>
          <w:b w:val="0"/>
          <w:i w:val="0"/>
          <w:sz w:val="22"/>
        </w:rPr>
      </w:r>
    </w:p>
    <w:p>
      <w:r>
        <w:rPr>
          <w:b w:val="0"/>
          <w:i w:val="0"/>
          <w:sz w:val="22"/>
        </w:rPr>
        <w:t>This contrast is the strongest cross-regional finding in the thesis. It shows that the two-decision framework plays out differently depending on the structural history of the region. The Douro's more continental climate and less structurally disrupted production history preserve enough of a climate signal for CarenR to be partially effective. Vinho Verde's Atlantic climate and dramatic structural collapse leave no stable climate-production relationship for CarenR to exploit.</w:t>
      </w:r>
    </w:p>
    <w:p>
      <w:r>
        <w:br w:type="page"/>
      </w:r>
    </w:p>
    <w:p>
      <w:pPr>
        <w:pStyle w:val="Heading1"/>
      </w:pPr>
      <w:r>
        <w:rPr>
          <w:color w:val="1F497D"/>
        </w:rPr>
        <w:t>20. Context for Thesis Writing — Complete Hand-off Guide</w:t>
      </w:r>
    </w:p>
    <w:p>
      <w:r>
        <w:rPr>
          <w:b w:val="0"/>
          <w:i w:val="0"/>
          <w:sz w:val="22"/>
        </w:rPr>
        <w:t>This section provides everything needed to write the thesis chapters from scratch, either in a new session or with another assistant. It is self-contained: a reader who has only this section should be able to understand the full research, its findings, and how to present it.</w:t>
      </w:r>
    </w:p>
    <w:p>
      <w:pPr>
        <w:pStyle w:val="Heading2"/>
      </w:pPr>
      <w:r>
        <w:rPr>
          <w:color w:val="1F497D"/>
        </w:rPr>
        <w:t>20.1 Research in One Paragraph</w:t>
      </w:r>
    </w:p>
    <w:p>
      <w:r>
        <w:rPr>
          <w:b w:val="0"/>
          <w:i w:val="0"/>
          <w:sz w:val="22"/>
        </w:rPr>
        <w:t>This MSc thesis applies rule-based machine learning to wine production forecasting in two Portuguese wine regions: Douro (RDD, 89 years, 1934-2022) and Vinho Verde (RVV, 80 years, 1942-2021). The pipeline pursues two goals. Goal 1 (explainability): discover interpretable agroclimatic rules explaining which meteorological conditions drive above/below-trend harvests. Goal 2 (prediction): evaluate whether those rules can outperform a naive baseline in rigorous walk-forward (expanding window) validation. Three rule algorithms are compared: CarenR (distribution rules via KS test, 17 variants), RIPPER (classification rules), and M5Rules (piecewise linear). All models operate on linearly detrended residuals; predictions are retreneded before evaluation. MAE on original mhl scale is the primary metric, weighted by test-set size across 18 (RDD) and 16 (RVV) walk-forward scenarios.</w:t>
      </w:r>
    </w:p>
    <w:p>
      <w:pPr>
        <w:pStyle w:val="Heading2"/>
      </w:pPr>
      <w:r>
        <w:rPr>
          <w:color w:val="1F497D"/>
        </w:rPr>
        <w:t>20.2 Thesis Contributions</w:t>
      </w:r>
    </w:p>
    <w:p>
      <w:pPr>
        <w:pStyle w:val="ListBullet"/>
      </w:pPr>
      <w:r>
        <w:rPr>
          <w:b/>
          <w:sz w:val="22"/>
        </w:rPr>
        <w:t>EMPIRICAL: Full 17-model comparison across two contrasting wine regions with different production trajectories and climate characters. Both positive (Goal 1) and conditional positive (Goal 2, Douro) findings that go beyond a simple negative result.</w:t>
      </w:r>
    </w:p>
    <w:p>
      <w:pPr>
        <w:pStyle w:val="ListBullet"/>
      </w:pPr>
      <w:r>
        <w:rPr>
          <w:b/>
          <w:sz w:val="22"/>
        </w:rPr>
        <w:t>METHODOLOGICAL: The two-decision framework decomposing prediction error into detrend quality (Decision 1) and climate signal extraction (Decision 2), showing these are in fundamental tension and cannot both be maximised simultaneously with a time-only detrending covariate.</w:t>
      </w:r>
    </w:p>
    <w:p>
      <w:pPr>
        <w:pStyle w:val="ListBullet"/>
      </w:pPr>
      <w:r>
        <w:rPr>
          <w:b/>
          <w:sz w:val="22"/>
        </w:rPr>
        <w:t>DIAGNOSTIC: Era-composition analysis of walk-forward evaluation, showing CarenR wins in Douro precisely when training data reaches ~29% post-1990 representation — a finding about when and why rule-based prediction works, not just whether it works.</w:t>
      </w:r>
    </w:p>
    <w:p>
      <w:pPr>
        <w:pStyle w:val="ListBullet"/>
      </w:pPr>
      <w:r>
        <w:rPr>
          <w:b/>
          <w:sz w:val="22"/>
        </w:rPr>
        <w:t>DOMAIN: Harvest-period soil water (swa_hv_y1_b20) and flowering-phase moisture identified as primary drivers in both regions — validated by LOESS detrending which confirms the direction is real, not era-artefact.</w:t>
      </w:r>
    </w:p>
    <w:p>
      <w:pPr>
        <w:pStyle w:val="ListBullet"/>
      </w:pPr>
      <w:r>
        <w:rPr>
          <w:b/>
          <w:sz w:val="22"/>
        </w:rPr>
        <w:t>NEGATIVE (valuable): Supervised per-fold discretization (CarenR_Supervised) consistently overfits; LOESS detrending improves the trend floor but kills the climate signal. Both are documented as principled negative results.</w:t>
      </w:r>
    </w:p>
    <w:p>
      <w:pPr>
        <w:pStyle w:val="Heading2"/>
      </w:pPr>
      <w:r>
        <w:rPr>
          <w:color w:val="1F497D"/>
        </w:rPr>
        <w:t>20.3 Complete Findings — For Results Chapter</w:t>
      </w:r>
    </w:p>
    <w:p>
      <w:r>
        <w:rPr>
          <w:b/>
          <w:i w:val="0"/>
          <w:sz w:val="22"/>
        </w:rPr>
        <w:t>GOAL 1 (EXPLAINABILITY):</w:t>
      </w:r>
    </w:p>
    <w:p>
      <w:pPr>
        <w:pStyle w:val="ListBullet"/>
      </w:pPr>
      <w:r>
        <w:rPr>
          <w:b w:val="0"/>
          <w:sz w:val="22"/>
        </w:rPr>
        <w:t>CarenR discovers 48 rules for Douro and 20 for Vinho Verde on the full dataset.</w:t>
      </w:r>
    </w:p>
    <w:p>
      <w:pPr>
        <w:pStyle w:val="ListBullet"/>
      </w:pPr>
      <w:r>
        <w:rPr>
          <w:b w:val="0"/>
          <w:sz w:val="22"/>
        </w:rPr>
        <w:t>Both regions: harvest-period soil water (swa_hv_y1_b20) is the most frequent feature (11× top-10 rules RDD, 5× top-10 RVV).</w:t>
      </w:r>
    </w:p>
    <w:p>
      <w:pPr>
        <w:pStyle w:val="ListBullet"/>
      </w:pPr>
      <w:r>
        <w:rPr>
          <w:b w:val="0"/>
          <w:sz w:val="22"/>
        </w:rPr>
        <w:t>Douro top signal: few wet days post-flowering and post-maturity → above-trend production (+121 mhl on average, support 28%).</w:t>
      </w:r>
    </w:p>
    <w:p>
      <w:pPr>
        <w:pStyle w:val="ListBullet"/>
      </w:pPr>
      <w:r>
        <w:rPr>
          <w:b w:val="0"/>
          <w:sz w:val="22"/>
        </w:rPr>
        <w:t>Vinho Verde top signal: moderate soil water deficit at harvest combined with low heat stress → below-trend production (complex multi-condition rules).</w:t>
      </w:r>
    </w:p>
    <w:p>
      <w:pPr>
        <w:pStyle w:val="ListBullet"/>
      </w:pPr>
      <w:r>
        <w:rPr>
          <w:b w:val="0"/>
          <w:sz w:val="22"/>
        </w:rPr>
        <w:t>RIPPER achieves 42% accuracy (RDD) and 35% (RVV) vs 33% random baseline. Individual rules have high precision (73-100%) but low generalisation.</w:t>
      </w:r>
    </w:p>
    <w:p>
      <w:pPr>
        <w:pStyle w:val="ListBullet"/>
      </w:pPr>
      <w:r>
        <w:rPr>
          <w:b w:val="0"/>
          <w:sz w:val="22"/>
        </w:rPr>
        <w:t>M5Rules collapses to a single global linear model in both regions — insufficient data for conditional branching.</w:t>
      </w:r>
    </w:p>
    <w:p>
      <w:pPr>
        <w:pStyle w:val="ListBullet"/>
      </w:pPr>
      <w:r>
        <w:rPr>
          <w:b w:val="0"/>
          <w:sz w:val="22"/>
        </w:rPr>
        <w:t>LOESS validation: top features retain r~0.47 correlation even after era confounds removed — direction is genuine, magnitude slightly inflated.</w:t>
      </w:r>
    </w:p>
    <w:p>
      <w:r>
        <w:rPr>
          <w:b/>
          <w:i w:val="0"/>
          <w:sz w:val="22"/>
        </w:rPr>
        <w:t>GOAL 2 (PREDICTION):</w:t>
      </w:r>
    </w:p>
    <w:p>
      <w:pPr>
        <w:pStyle w:val="ListBullet"/>
      </w:pPr>
      <w:r>
        <w:rPr>
          <w:b w:val="0"/>
          <w:sz w:val="22"/>
        </w:rPr>
        <w:t>Best baseline: Naive_Median (training median) — 184 mhl RDD, 140 mhl RVV weighted MAE.</w:t>
      </w:r>
    </w:p>
    <w:p>
      <w:pPr>
        <w:pStyle w:val="ListBullet"/>
      </w:pPr>
      <w:r>
        <w:rPr>
          <w:b w:val="0"/>
          <w:sz w:val="22"/>
        </w:rPr>
        <w:t>Best CarenR: Eta2 for RDD (189 mhl, +3% vs baseline), Sup_FS for RVV (172 mhl, +22% vs baseline).</w:t>
      </w:r>
    </w:p>
    <w:p>
      <w:pPr>
        <w:pStyle w:val="ListBullet"/>
      </w:pPr>
      <w:r>
        <w:rPr>
          <w:b w:val="0"/>
          <w:sz w:val="22"/>
        </w:rPr>
        <w:t>CarenR beats Naive_Median in 5/18 RDD scenarios (when post-1990 training share reaches ~29%) and 0/16 RVV scenarios.</w:t>
      </w:r>
    </w:p>
    <w:p>
      <w:pPr>
        <w:pStyle w:val="ListBullet"/>
      </w:pPr>
      <w:r>
        <w:rPr>
          <w:b w:val="0"/>
          <w:sz w:val="22"/>
        </w:rPr>
        <w:t>In RVV: 7/16 scenarios fallback to median (no rules), 9/16 rules fire but hurt prediction. 0/16 wins.</w:t>
      </w:r>
    </w:p>
    <w:p>
      <w:pPr>
        <w:pStyle w:val="ListBullet"/>
      </w:pPr>
      <w:r>
        <w:rPr>
          <w:b w:val="0"/>
          <w:sz w:val="22"/>
        </w:rPr>
        <w:t>In RDD: CarenR wins by 17-32 mhl in scenarios 10-14. Weighted MAE still slightly behind (189 vs 184) because early scenarios with largest test sets dominate the metric.</w:t>
      </w:r>
    </w:p>
    <w:p>
      <w:pPr>
        <w:pStyle w:val="ListBullet"/>
      </w:pPr>
      <w:r>
        <w:rPr>
          <w:b w:val="0"/>
          <w:sz w:val="22"/>
        </w:rPr>
        <w:t>Supervised discretization (CarenR_Supervised): finds 46-146 rules per scenario but weighted MAE = 240 mhl (RDD) / 347 mhl (RVV) — overfitting of the feature engineering step confirmed.</w:t>
      </w:r>
    </w:p>
    <w:p>
      <w:pPr>
        <w:pStyle w:val="ListBullet"/>
      </w:pPr>
      <w:r>
        <w:rPr>
          <w:b w:val="0"/>
          <w:sz w:val="22"/>
        </w:rPr>
        <w:t>LOESS detrending: reduces Naive_Median floor to ~90 mhl (RVV) but CarenR falls back to median in all scenarios (0 rules). Better detrending kills the climate signal.</w:t>
      </w:r>
    </w:p>
    <w:p>
      <w:r>
        <w:rPr>
          <w:b/>
          <w:i w:val="0"/>
          <w:sz w:val="22"/>
        </w:rPr>
        <w:t>CROSS-REGIONAL:</w:t>
      </w:r>
    </w:p>
    <w:p>
      <w:pPr>
        <w:pStyle w:val="ListBullet"/>
      </w:pPr>
      <w:r>
        <w:rPr>
          <w:b w:val="0"/>
          <w:sz w:val="22"/>
        </w:rPr>
        <w:t>Feature selector rank reversals: CarenR_Dist_Eta2 ranks 2nd in RDD but 12th in RVV. CarenR_Dist_Sup_FS ranks 5th in RDD and 4th in RVV. Selector quality matters in Douro (rules fire); irrelevant in VV (rules don't).</w:t>
      </w:r>
    </w:p>
    <w:p>
      <w:pPr>
        <w:pStyle w:val="ListBullet"/>
      </w:pPr>
      <w:r>
        <w:rPr>
          <w:b w:val="0"/>
          <w:sz w:val="22"/>
        </w:rPr>
        <w:t>RIPPER and DT are worst ML models in both regions (ranks 16-17). CarenR consistently outperforms all other ML approaches.</w:t>
      </w:r>
    </w:p>
    <w:p>
      <w:pPr>
        <w:pStyle w:val="ListBullet"/>
      </w:pPr>
      <w:r>
        <w:rPr>
          <w:b w:val="0"/>
          <w:sz w:val="22"/>
        </w:rPr>
        <w:t>Era analysis: RVV production declined 65% (structure-driven); RDD production increased ~80% (Douro DOC expansion + Port quota system). Opposite trajectories explain the different era-confound severity.</w:t>
      </w:r>
    </w:p>
    <w:p>
      <w:pPr>
        <w:pStyle w:val="Heading2"/>
      </w:pPr>
      <w:r>
        <w:rPr>
          <w:color w:val="1F497D"/>
        </w:rPr>
        <w:t>20.4 Every Number Needed — Compact Reference</w:t>
      </w:r>
    </w:p>
    <w:tbl>
      <w:tblPr>
        <w:tblStyle w:val="TableGrid"/>
        <w:tblW w:type="auto" w:w="0"/>
        <w:tblLook w:firstColumn="1" w:firstRow="1" w:lastColumn="0" w:lastRow="0" w:noHBand="0" w:noVBand="1" w:val="04A0"/>
      </w:tblPr>
      <w:tblGrid>
        <w:gridCol w:w="3009"/>
        <w:gridCol w:w="3009"/>
        <w:gridCol w:w="3009"/>
      </w:tblGrid>
      <w:tr>
        <w:tc>
          <w:tcPr>
            <w:tcW w:type="dxa" w:w="3009"/>
          </w:tcPr>
          <w:p>
            <w:pPr>
              <w:jc w:val="center"/>
            </w:pPr>
            <w:r>
              <w:rPr>
                <w:b/>
                <w:sz w:val="18"/>
              </w:rPr>
              <w:t>What</w:t>
            </w:r>
          </w:p>
        </w:tc>
        <w:tc>
          <w:tcPr>
            <w:tcW w:type="dxa" w:w="3009"/>
          </w:tcPr>
          <w:p>
            <w:pPr>
              <w:jc w:val="center"/>
            </w:pPr>
            <w:r>
              <w:rPr>
                <w:b/>
                <w:sz w:val="18"/>
              </w:rPr>
              <w:t>RDD</w:t>
            </w:r>
          </w:p>
        </w:tc>
        <w:tc>
          <w:tcPr>
            <w:tcW w:type="dxa" w:w="3009"/>
          </w:tcPr>
          <w:p>
            <w:pPr>
              <w:jc w:val="center"/>
            </w:pPr>
            <w:r>
              <w:rPr>
                <w:b/>
                <w:sz w:val="18"/>
              </w:rPr>
              <w:t>RVV</w:t>
            </w:r>
          </w:p>
        </w:tc>
      </w:tr>
      <w:tr>
        <w:tc>
          <w:tcPr>
            <w:tcW w:type="dxa" w:w="3009"/>
          </w:tcPr>
          <w:p>
            <w:pPr>
              <w:jc w:val="left"/>
            </w:pPr>
            <w:r>
              <w:rPr>
                <w:sz w:val="18"/>
              </w:rPr>
              <w:t>Years of data</w:t>
            </w:r>
          </w:p>
        </w:tc>
        <w:tc>
          <w:tcPr>
            <w:tcW w:type="dxa" w:w="3009"/>
          </w:tcPr>
          <w:p>
            <w:pPr>
              <w:jc w:val="center"/>
            </w:pPr>
            <w:r>
              <w:rPr>
                <w:sz w:val="18"/>
              </w:rPr>
              <w:t>89 (1934-2022)</w:t>
            </w:r>
          </w:p>
        </w:tc>
        <w:tc>
          <w:tcPr>
            <w:tcW w:type="dxa" w:w="3009"/>
          </w:tcPr>
          <w:p>
            <w:pPr>
              <w:jc w:val="center"/>
            </w:pPr>
            <w:r>
              <w:rPr>
                <w:sz w:val="18"/>
              </w:rPr>
              <w:t>80 (1942-2021)</w:t>
            </w:r>
          </w:p>
        </w:tc>
      </w:tr>
      <w:tr>
        <w:tc>
          <w:tcPr>
            <w:tcW w:type="dxa" w:w="3009"/>
          </w:tcPr>
          <w:p>
            <w:pPr>
              <w:jc w:val="left"/>
            </w:pPr>
            <w:r>
              <w:rPr>
                <w:sz w:val="18"/>
              </w:rPr>
              <w:t>Walk-forward scenarios</w:t>
            </w:r>
          </w:p>
        </w:tc>
        <w:tc>
          <w:tcPr>
            <w:tcW w:type="dxa" w:w="3009"/>
          </w:tcPr>
          <w:p>
            <w:pPr>
              <w:jc w:val="center"/>
            </w:pPr>
            <w:r>
              <w:rPr>
                <w:sz w:val="18"/>
              </w:rPr>
              <w:t>18</w:t>
            </w:r>
          </w:p>
        </w:tc>
        <w:tc>
          <w:tcPr>
            <w:tcW w:type="dxa" w:w="3009"/>
          </w:tcPr>
          <w:p>
            <w:pPr>
              <w:jc w:val="center"/>
            </w:pPr>
            <w:r>
              <w:rPr>
                <w:sz w:val="18"/>
              </w:rPr>
              <w:t>16</w:t>
            </w:r>
          </w:p>
        </w:tc>
      </w:tr>
      <w:tr>
        <w:tc>
          <w:tcPr>
            <w:tcW w:type="dxa" w:w="3009"/>
          </w:tcPr>
          <w:p>
            <w:pPr>
              <w:jc w:val="left"/>
            </w:pPr>
            <w:r>
              <w:rPr>
                <w:sz w:val="18"/>
              </w:rPr>
              <w:t>Models compared</w:t>
            </w:r>
          </w:p>
        </w:tc>
        <w:tc>
          <w:tcPr>
            <w:tcW w:type="dxa" w:w="3009"/>
          </w:tcPr>
          <w:p>
            <w:pPr>
              <w:jc w:val="center"/>
            </w:pPr>
            <w:r>
              <w:rPr>
                <w:sz w:val="18"/>
              </w:rPr>
              <w:t>17</w:t>
            </w:r>
          </w:p>
        </w:tc>
        <w:tc>
          <w:tcPr>
            <w:tcW w:type="dxa" w:w="3009"/>
          </w:tcPr>
          <w:p>
            <w:pPr>
              <w:jc w:val="center"/>
            </w:pPr>
            <w:r>
              <w:rPr>
                <w:sz w:val="18"/>
              </w:rPr>
              <w:t>17</w:t>
            </w:r>
          </w:p>
        </w:tc>
      </w:tr>
      <w:tr>
        <w:tc>
          <w:tcPr>
            <w:tcW w:type="dxa" w:w="3009"/>
          </w:tcPr>
          <w:p>
            <w:pPr>
              <w:jc w:val="left"/>
            </w:pPr>
            <w:r>
              <w:rPr>
                <w:sz w:val="18"/>
              </w:rPr>
              <w:t>CarenR rules (full dataset)</w:t>
            </w:r>
          </w:p>
        </w:tc>
        <w:tc>
          <w:tcPr>
            <w:tcW w:type="dxa" w:w="3009"/>
          </w:tcPr>
          <w:p>
            <w:pPr>
              <w:jc w:val="center"/>
            </w:pPr>
            <w:r>
              <w:rPr>
                <w:sz w:val="18"/>
              </w:rPr>
              <w:t>48</w:t>
            </w:r>
          </w:p>
        </w:tc>
        <w:tc>
          <w:tcPr>
            <w:tcW w:type="dxa" w:w="3009"/>
          </w:tcPr>
          <w:p>
            <w:pPr>
              <w:jc w:val="center"/>
            </w:pPr>
            <w:r>
              <w:rPr>
                <w:sz w:val="18"/>
              </w:rPr>
              <w:t>20</w:t>
            </w:r>
          </w:p>
        </w:tc>
      </w:tr>
      <w:tr>
        <w:tc>
          <w:tcPr>
            <w:tcW w:type="dxa" w:w="3009"/>
          </w:tcPr>
          <w:p>
            <w:pPr>
              <w:jc w:val="left"/>
            </w:pPr>
            <w:r>
              <w:rPr>
                <w:sz w:val="18"/>
              </w:rPr>
              <w:t>Top feature</w:t>
            </w:r>
          </w:p>
        </w:tc>
        <w:tc>
          <w:tcPr>
            <w:tcW w:type="dxa" w:w="3009"/>
          </w:tcPr>
          <w:p>
            <w:pPr>
              <w:jc w:val="center"/>
            </w:pPr>
            <w:r>
              <w:rPr>
                <w:sz w:val="18"/>
              </w:rPr>
              <w:t>swa_hv_y1_b20 (harvest soil water)</w:t>
            </w:r>
          </w:p>
        </w:tc>
        <w:tc>
          <w:tcPr>
            <w:tcW w:type="dxa" w:w="3009"/>
          </w:tcPr>
          <w:p>
            <w:pPr>
              <w:jc w:val="center"/>
            </w:pPr>
            <w:r>
              <w:rPr>
                <w:sz w:val="18"/>
              </w:rPr>
              <w:t>swa_hv_y1_b20</w:t>
            </w:r>
          </w:p>
        </w:tc>
      </w:tr>
      <w:tr>
        <w:tc>
          <w:tcPr>
            <w:tcW w:type="dxa" w:w="3009"/>
          </w:tcPr>
          <w:p>
            <w:pPr>
              <w:jc w:val="left"/>
            </w:pPr>
            <w:r>
              <w:rPr>
                <w:sz w:val="18"/>
              </w:rPr>
              <w:t>Feature |r| linear / LOESS</w:t>
            </w:r>
          </w:p>
        </w:tc>
        <w:tc>
          <w:tcPr>
            <w:tcW w:type="dxa" w:w="3009"/>
          </w:tcPr>
          <w:p>
            <w:pPr>
              <w:jc w:val="center"/>
            </w:pPr>
            <w:r>
              <w:rPr>
                <w:sz w:val="18"/>
              </w:rPr>
              <w:t>~0.51 / ~0.47</w:t>
            </w:r>
          </w:p>
        </w:tc>
        <w:tc>
          <w:tcPr>
            <w:tcW w:type="dxa" w:w="3009"/>
          </w:tcPr>
          <w:p>
            <w:pPr>
              <w:jc w:val="center"/>
            </w:pPr>
            <w:r>
              <w:rPr>
                <w:sz w:val="18"/>
              </w:rPr>
              <w:t>~0.51 / ~0.47</w:t>
            </w:r>
          </w:p>
        </w:tc>
      </w:tr>
      <w:tr>
        <w:tc>
          <w:tcPr>
            <w:tcW w:type="dxa" w:w="3009"/>
          </w:tcPr>
          <w:p>
            <w:pPr>
              <w:jc w:val="left"/>
            </w:pPr>
            <w:r>
              <w:rPr>
                <w:sz w:val="18"/>
              </w:rPr>
              <w:t>Naive_Median weighted MAE</w:t>
            </w:r>
          </w:p>
        </w:tc>
        <w:tc>
          <w:tcPr>
            <w:tcW w:type="dxa" w:w="3009"/>
          </w:tcPr>
          <w:p>
            <w:pPr>
              <w:jc w:val="center"/>
            </w:pPr>
            <w:r>
              <w:rPr>
                <w:sz w:val="18"/>
              </w:rPr>
              <w:t>184 mhl</w:t>
            </w:r>
          </w:p>
        </w:tc>
        <w:tc>
          <w:tcPr>
            <w:tcW w:type="dxa" w:w="3009"/>
          </w:tcPr>
          <w:p>
            <w:pPr>
              <w:jc w:val="center"/>
            </w:pPr>
            <w:r>
              <w:rPr>
                <w:sz w:val="18"/>
              </w:rPr>
              <w:t>140 mhl</w:t>
            </w:r>
          </w:p>
        </w:tc>
      </w:tr>
      <w:tr>
        <w:tc>
          <w:tcPr>
            <w:tcW w:type="dxa" w:w="3009"/>
          </w:tcPr>
          <w:p>
            <w:pPr>
              <w:jc w:val="left"/>
            </w:pPr>
            <w:r>
              <w:rPr>
                <w:sz w:val="18"/>
              </w:rPr>
              <w:t>Naive weighted MAE</w:t>
            </w:r>
          </w:p>
        </w:tc>
        <w:tc>
          <w:tcPr>
            <w:tcW w:type="dxa" w:w="3009"/>
          </w:tcPr>
          <w:p>
            <w:pPr>
              <w:jc w:val="center"/>
            </w:pPr>
            <w:r>
              <w:rPr>
                <w:sz w:val="18"/>
              </w:rPr>
              <w:t>199 mhl</w:t>
            </w:r>
          </w:p>
        </w:tc>
        <w:tc>
          <w:tcPr>
            <w:tcW w:type="dxa" w:w="3009"/>
          </w:tcPr>
          <w:p>
            <w:pPr>
              <w:jc w:val="center"/>
            </w:pPr>
            <w:r>
              <w:rPr>
                <w:sz w:val="18"/>
              </w:rPr>
              <w:t>144 mhl</w:t>
            </w:r>
          </w:p>
        </w:tc>
      </w:tr>
      <w:tr>
        <w:tc>
          <w:tcPr>
            <w:tcW w:type="dxa" w:w="3009"/>
          </w:tcPr>
          <w:p>
            <w:pPr>
              <w:jc w:val="left"/>
            </w:pPr>
            <w:r>
              <w:rPr>
                <w:sz w:val="18"/>
              </w:rPr>
              <w:t>Naive_MA weighted MAE</w:t>
            </w:r>
          </w:p>
        </w:tc>
        <w:tc>
          <w:tcPr>
            <w:tcW w:type="dxa" w:w="3009"/>
          </w:tcPr>
          <w:p>
            <w:pPr>
              <w:jc w:val="center"/>
            </w:pPr>
            <w:r>
              <w:rPr>
                <w:sz w:val="18"/>
              </w:rPr>
              <w:t>195 mhl</w:t>
            </w:r>
          </w:p>
        </w:tc>
        <w:tc>
          <w:tcPr>
            <w:tcW w:type="dxa" w:w="3009"/>
          </w:tcPr>
          <w:p>
            <w:pPr>
              <w:jc w:val="center"/>
            </w:pPr>
            <w:r>
              <w:rPr>
                <w:sz w:val="18"/>
              </w:rPr>
              <w:t>171 mhl</w:t>
            </w:r>
          </w:p>
        </w:tc>
      </w:tr>
      <w:tr>
        <w:tc>
          <w:tcPr>
            <w:tcW w:type="dxa" w:w="3009"/>
          </w:tcPr>
          <w:p>
            <w:pPr>
              <w:jc w:val="left"/>
            </w:pPr>
            <w:r>
              <w:rPr>
                <w:sz w:val="18"/>
              </w:rPr>
              <w:t>Best CarenR weighted MAE</w:t>
            </w:r>
          </w:p>
        </w:tc>
        <w:tc>
          <w:tcPr>
            <w:tcW w:type="dxa" w:w="3009"/>
          </w:tcPr>
          <w:p>
            <w:pPr>
              <w:jc w:val="center"/>
            </w:pPr>
            <w:r>
              <w:rPr>
                <w:sz w:val="18"/>
              </w:rPr>
              <w:t>189 mhl (Eta2)</w:t>
            </w:r>
          </w:p>
        </w:tc>
        <w:tc>
          <w:tcPr>
            <w:tcW w:type="dxa" w:w="3009"/>
          </w:tcPr>
          <w:p>
            <w:pPr>
              <w:jc w:val="center"/>
            </w:pPr>
            <w:r>
              <w:rPr>
                <w:sz w:val="18"/>
              </w:rPr>
              <w:t>172 mhl (Sup_FS)</w:t>
            </w:r>
          </w:p>
        </w:tc>
      </w:tr>
      <w:tr>
        <w:tc>
          <w:tcPr>
            <w:tcW w:type="dxa" w:w="3009"/>
          </w:tcPr>
          <w:p>
            <w:pPr>
              <w:jc w:val="left"/>
            </w:pPr>
            <w:r>
              <w:rPr>
                <w:sz w:val="18"/>
              </w:rPr>
              <w:t>Gap: CarenR vs baseline</w:t>
            </w:r>
          </w:p>
        </w:tc>
        <w:tc>
          <w:tcPr>
            <w:tcW w:type="dxa" w:w="3009"/>
          </w:tcPr>
          <w:p>
            <w:pPr>
              <w:jc w:val="center"/>
            </w:pPr>
            <w:r>
              <w:rPr>
                <w:sz w:val="18"/>
              </w:rPr>
              <w:t>+5 mhl (+3%)</w:t>
            </w:r>
          </w:p>
        </w:tc>
        <w:tc>
          <w:tcPr>
            <w:tcW w:type="dxa" w:w="3009"/>
          </w:tcPr>
          <w:p>
            <w:pPr>
              <w:jc w:val="center"/>
            </w:pPr>
            <w:r>
              <w:rPr>
                <w:sz w:val="18"/>
              </w:rPr>
              <w:t>+31 mhl (+22%)</w:t>
            </w:r>
          </w:p>
        </w:tc>
      </w:tr>
      <w:tr>
        <w:tc>
          <w:tcPr>
            <w:tcW w:type="dxa" w:w="3009"/>
          </w:tcPr>
          <w:p>
            <w:pPr>
              <w:jc w:val="left"/>
            </w:pPr>
            <w:r>
              <w:rPr>
                <w:sz w:val="18"/>
              </w:rPr>
              <w:t>CarenR winning scenarios</w:t>
            </w:r>
          </w:p>
        </w:tc>
        <w:tc>
          <w:tcPr>
            <w:tcW w:type="dxa" w:w="3009"/>
          </w:tcPr>
          <w:p>
            <w:pPr>
              <w:jc w:val="center"/>
            </w:pPr>
            <w:r>
              <w:rPr>
                <w:sz w:val="18"/>
              </w:rPr>
              <w:t>5/18 (scen 10-14)</w:t>
            </w:r>
          </w:p>
        </w:tc>
        <w:tc>
          <w:tcPr>
            <w:tcW w:type="dxa" w:w="3009"/>
          </w:tcPr>
          <w:p>
            <w:pPr>
              <w:jc w:val="center"/>
            </w:pPr>
            <w:r>
              <w:rPr>
                <w:sz w:val="18"/>
              </w:rPr>
              <w:t>0/16</w:t>
            </w:r>
          </w:p>
        </w:tc>
      </w:tr>
      <w:tr>
        <w:tc>
          <w:tcPr>
            <w:tcW w:type="dxa" w:w="3009"/>
          </w:tcPr>
          <w:p>
            <w:pPr>
              <w:jc w:val="left"/>
            </w:pPr>
            <w:r>
              <w:rPr>
                <w:sz w:val="18"/>
              </w:rPr>
              <w:t>CarenR fallback to median</w:t>
            </w:r>
          </w:p>
        </w:tc>
        <w:tc>
          <w:tcPr>
            <w:tcW w:type="dxa" w:w="3009"/>
          </w:tcPr>
          <w:p>
            <w:pPr>
              <w:jc w:val="center"/>
            </w:pPr>
            <w:r>
              <w:rPr>
                <w:sz w:val="18"/>
              </w:rPr>
              <w:t>Rare</w:t>
            </w:r>
          </w:p>
        </w:tc>
        <w:tc>
          <w:tcPr>
            <w:tcW w:type="dxa" w:w="3009"/>
          </w:tcPr>
          <w:p>
            <w:pPr>
              <w:jc w:val="center"/>
            </w:pPr>
            <w:r>
              <w:rPr>
                <w:sz w:val="18"/>
              </w:rPr>
              <w:t>7/16 (44%)</w:t>
            </w:r>
          </w:p>
        </w:tc>
      </w:tr>
      <w:tr>
        <w:tc>
          <w:tcPr>
            <w:tcW w:type="dxa" w:w="3009"/>
          </w:tcPr>
          <w:p>
            <w:pPr>
              <w:jc w:val="left"/>
            </w:pPr>
            <w:r>
              <w:rPr>
                <w:sz w:val="18"/>
              </w:rPr>
              <w:t>CarenR harmful rules</w:t>
            </w:r>
          </w:p>
        </w:tc>
        <w:tc>
          <w:tcPr>
            <w:tcW w:type="dxa" w:w="3009"/>
          </w:tcPr>
          <w:p>
            <w:pPr>
              <w:jc w:val="center"/>
            </w:pPr>
            <w:r>
              <w:rPr>
                <w:sz w:val="18"/>
              </w:rPr>
              <w:t>Some early scen.</w:t>
            </w:r>
          </w:p>
        </w:tc>
        <w:tc>
          <w:tcPr>
            <w:tcW w:type="dxa" w:w="3009"/>
          </w:tcPr>
          <w:p>
            <w:pPr>
              <w:jc w:val="center"/>
            </w:pPr>
            <w:r>
              <w:rPr>
                <w:sz w:val="18"/>
              </w:rPr>
              <w:t>9/16 (56%)</w:t>
            </w:r>
          </w:p>
        </w:tc>
      </w:tr>
      <w:tr>
        <w:tc>
          <w:tcPr>
            <w:tcW w:type="dxa" w:w="3009"/>
          </w:tcPr>
          <w:p>
            <w:pPr>
              <w:jc w:val="left"/>
            </w:pPr>
            <w:r>
              <w:rPr>
                <w:sz w:val="18"/>
              </w:rPr>
              <w:t>Post-1990 share at win zone</w:t>
            </w:r>
          </w:p>
        </w:tc>
        <w:tc>
          <w:tcPr>
            <w:tcW w:type="dxa" w:w="3009"/>
          </w:tcPr>
          <w:p>
            <w:pPr>
              <w:jc w:val="center"/>
            </w:pPr>
            <w:r>
              <w:rPr>
                <w:sz w:val="18"/>
              </w:rPr>
              <w:t>~29-32%</w:t>
            </w:r>
          </w:p>
        </w:tc>
        <w:tc>
          <w:tcPr>
            <w:tcW w:type="dxa" w:w="3009"/>
          </w:tcPr>
          <w:p>
            <w:pPr>
              <w:jc w:val="center"/>
            </w:pPr>
            <w:r>
              <w:rPr>
                <w:sz w:val="18"/>
              </w:rPr>
              <w:t>n/a</w:t>
            </w:r>
          </w:p>
        </w:tc>
      </w:tr>
      <w:tr>
        <w:tc>
          <w:tcPr>
            <w:tcW w:type="dxa" w:w="3009"/>
          </w:tcPr>
          <w:p>
            <w:pPr>
              <w:jc w:val="left"/>
            </w:pPr>
            <w:r>
              <w:rPr>
                <w:sz w:val="18"/>
              </w:rPr>
              <w:t>RIPPER weighted MAE</w:t>
            </w:r>
          </w:p>
        </w:tc>
        <w:tc>
          <w:tcPr>
            <w:tcW w:type="dxa" w:w="3009"/>
          </w:tcPr>
          <w:p>
            <w:pPr>
              <w:jc w:val="center"/>
            </w:pPr>
            <w:r>
              <w:rPr>
                <w:sz w:val="18"/>
              </w:rPr>
              <w:t>279 mhl</w:t>
            </w:r>
          </w:p>
        </w:tc>
        <w:tc>
          <w:tcPr>
            <w:tcW w:type="dxa" w:w="3009"/>
          </w:tcPr>
          <w:p>
            <w:pPr>
              <w:jc w:val="center"/>
            </w:pPr>
            <w:r>
              <w:rPr>
                <w:sz w:val="18"/>
              </w:rPr>
              <w:t>508 mhl</w:t>
            </w:r>
          </w:p>
        </w:tc>
      </w:tr>
      <w:tr>
        <w:tc>
          <w:tcPr>
            <w:tcW w:type="dxa" w:w="3009"/>
          </w:tcPr>
          <w:p>
            <w:pPr>
              <w:jc w:val="left"/>
            </w:pPr>
            <w:r>
              <w:rPr>
                <w:sz w:val="18"/>
              </w:rPr>
              <w:t>DT weighted MAE</w:t>
            </w:r>
          </w:p>
        </w:tc>
        <w:tc>
          <w:tcPr>
            <w:tcW w:type="dxa" w:w="3009"/>
          </w:tcPr>
          <w:p>
            <w:pPr>
              <w:jc w:val="center"/>
            </w:pPr>
            <w:r>
              <w:rPr>
                <w:sz w:val="18"/>
              </w:rPr>
              <w:t>250 mhl</w:t>
            </w:r>
          </w:p>
        </w:tc>
        <w:tc>
          <w:tcPr>
            <w:tcW w:type="dxa" w:w="3009"/>
          </w:tcPr>
          <w:p>
            <w:pPr>
              <w:jc w:val="center"/>
            </w:pPr>
            <w:r>
              <w:rPr>
                <w:sz w:val="18"/>
              </w:rPr>
              <w:t>479 mhl</w:t>
            </w:r>
          </w:p>
        </w:tc>
      </w:tr>
      <w:tr>
        <w:tc>
          <w:tcPr>
            <w:tcW w:type="dxa" w:w="3009"/>
          </w:tcPr>
          <w:p>
            <w:pPr>
              <w:jc w:val="left"/>
            </w:pPr>
            <w:r>
              <w:rPr>
                <w:sz w:val="18"/>
              </w:rPr>
              <w:t>M5Rules weighted MAE</w:t>
            </w:r>
          </w:p>
        </w:tc>
        <w:tc>
          <w:tcPr>
            <w:tcW w:type="dxa" w:w="3009"/>
          </w:tcPr>
          <w:p>
            <w:pPr>
              <w:jc w:val="center"/>
            </w:pPr>
            <w:r>
              <w:rPr>
                <w:sz w:val="18"/>
              </w:rPr>
              <w:t>200 mhl</w:t>
            </w:r>
          </w:p>
        </w:tc>
        <w:tc>
          <w:tcPr>
            <w:tcW w:type="dxa" w:w="3009"/>
          </w:tcPr>
          <w:p>
            <w:pPr>
              <w:jc w:val="center"/>
            </w:pPr>
            <w:r>
              <w:rPr>
                <w:sz w:val="18"/>
              </w:rPr>
              <w:t>268 mhl</w:t>
            </w:r>
          </w:p>
        </w:tc>
      </w:tr>
      <w:tr>
        <w:tc>
          <w:tcPr>
            <w:tcW w:type="dxa" w:w="3009"/>
          </w:tcPr>
          <w:p>
            <w:pPr>
              <w:jc w:val="left"/>
            </w:pPr>
            <w:r>
              <w:rPr>
                <w:sz w:val="18"/>
              </w:rPr>
              <w:t>CarenR_Supervised weighted MAE</w:t>
            </w:r>
          </w:p>
        </w:tc>
        <w:tc>
          <w:tcPr>
            <w:tcW w:type="dxa" w:w="3009"/>
          </w:tcPr>
          <w:p>
            <w:pPr>
              <w:jc w:val="center"/>
            </w:pPr>
            <w:r>
              <w:rPr>
                <w:sz w:val="18"/>
              </w:rPr>
              <w:t>240 mhl</w:t>
            </w:r>
          </w:p>
        </w:tc>
        <w:tc>
          <w:tcPr>
            <w:tcW w:type="dxa" w:w="3009"/>
          </w:tcPr>
          <w:p>
            <w:pPr>
              <w:jc w:val="center"/>
            </w:pPr>
            <w:r>
              <w:rPr>
                <w:sz w:val="18"/>
              </w:rPr>
              <w:t>347 mhl</w:t>
            </w:r>
          </w:p>
        </w:tc>
      </w:tr>
      <w:tr>
        <w:tc>
          <w:tcPr>
            <w:tcW w:type="dxa" w:w="3009"/>
          </w:tcPr>
          <w:p>
            <w:pPr>
              <w:jc w:val="left"/>
            </w:pPr>
            <w:r>
              <w:rPr>
                <w:sz w:val="18"/>
              </w:rPr>
              <w:t>LOESS Naive_Median weighted MAE</w:t>
            </w:r>
          </w:p>
        </w:tc>
        <w:tc>
          <w:tcPr>
            <w:tcW w:type="dxa" w:w="3009"/>
          </w:tcPr>
          <w:p>
            <w:pPr>
              <w:jc w:val="center"/>
            </w:pPr>
            <w:r>
              <w:rPr>
                <w:sz w:val="18"/>
              </w:rPr>
              <w:t>not run</w:t>
            </w:r>
          </w:p>
        </w:tc>
        <w:tc>
          <w:tcPr>
            <w:tcW w:type="dxa" w:w="3009"/>
          </w:tcPr>
          <w:p>
            <w:pPr>
              <w:jc w:val="center"/>
            </w:pPr>
            <w:r>
              <w:rPr>
                <w:sz w:val="18"/>
              </w:rPr>
              <w:t>~90 mhl</w:t>
            </w:r>
          </w:p>
        </w:tc>
      </w:tr>
      <w:tr>
        <w:tc>
          <w:tcPr>
            <w:tcW w:type="dxa" w:w="3009"/>
          </w:tcPr>
          <w:p>
            <w:pPr>
              <w:jc w:val="left"/>
            </w:pPr>
            <w:r>
              <w:rPr>
                <w:sz w:val="18"/>
              </w:rPr>
              <w:t>Production 1960s mean</w:t>
            </w:r>
          </w:p>
        </w:tc>
        <w:tc>
          <w:tcPr>
            <w:tcW w:type="dxa" w:w="3009"/>
          </w:tcPr>
          <w:p>
            <w:pPr>
              <w:jc w:val="center"/>
            </w:pPr>
            <w:r>
              <w:rPr>
                <w:sz w:val="18"/>
              </w:rPr>
              <w:t>1,184 mhl</w:t>
            </w:r>
          </w:p>
        </w:tc>
        <w:tc>
          <w:tcPr>
            <w:tcW w:type="dxa" w:w="3009"/>
          </w:tcPr>
          <w:p>
            <w:pPr>
              <w:jc w:val="center"/>
            </w:pPr>
            <w:r>
              <w:rPr>
                <w:sz w:val="18"/>
              </w:rPr>
              <w:t>2,331 mhl</w:t>
            </w:r>
          </w:p>
        </w:tc>
      </w:tr>
      <w:tr>
        <w:tc>
          <w:tcPr>
            <w:tcW w:type="dxa" w:w="3009"/>
          </w:tcPr>
          <w:p>
            <w:pPr>
              <w:jc w:val="left"/>
            </w:pPr>
            <w:r>
              <w:rPr>
                <w:sz w:val="18"/>
              </w:rPr>
              <w:t>Production 2010s mean</w:t>
            </w:r>
          </w:p>
        </w:tc>
        <w:tc>
          <w:tcPr>
            <w:tcW w:type="dxa" w:w="3009"/>
          </w:tcPr>
          <w:p>
            <w:pPr>
              <w:jc w:val="center"/>
            </w:pPr>
            <w:r>
              <w:rPr>
                <w:sz w:val="18"/>
              </w:rPr>
              <w:t>1,308 mhl</w:t>
            </w:r>
          </w:p>
        </w:tc>
        <w:tc>
          <w:tcPr>
            <w:tcW w:type="dxa" w:w="3009"/>
          </w:tcPr>
          <w:p>
            <w:pPr>
              <w:jc w:val="center"/>
            </w:pPr>
            <w:r>
              <w:rPr>
                <w:sz w:val="18"/>
              </w:rPr>
              <w:t>798 mhl</w:t>
            </w:r>
          </w:p>
        </w:tc>
      </w:tr>
      <w:tr>
        <w:tc>
          <w:tcPr>
            <w:tcW w:type="dxa" w:w="3009"/>
          </w:tcPr>
          <w:p>
            <w:pPr>
              <w:jc w:val="left"/>
            </w:pPr>
            <w:r>
              <w:rPr>
                <w:sz w:val="18"/>
              </w:rPr>
              <w:t>Production change</w:t>
            </w:r>
          </w:p>
        </w:tc>
        <w:tc>
          <w:tcPr>
            <w:tcW w:type="dxa" w:w="3009"/>
          </w:tcPr>
          <w:p>
            <w:pPr>
              <w:jc w:val="center"/>
            </w:pPr>
            <w:r>
              <w:rPr>
                <w:sz w:val="18"/>
              </w:rPr>
              <w:t>+80% (increase)</w:t>
            </w:r>
          </w:p>
        </w:tc>
        <w:tc>
          <w:tcPr>
            <w:tcW w:type="dxa" w:w="3009"/>
          </w:tcPr>
          <w:p>
            <w:pPr>
              <w:jc w:val="center"/>
            </w:pPr>
            <w:r>
              <w:rPr>
                <w:sz w:val="18"/>
              </w:rPr>
              <w:t>-65% (decline)</w:t>
            </w:r>
          </w:p>
        </w:tc>
      </w:tr>
    </w:tbl>
    <w:p>
      <w:r>
        <w:rPr>
          <w:b w:val="0"/>
          <w:i w:val="0"/>
          <w:sz w:val="22"/>
        </w:rPr>
      </w:r>
    </w:p>
    <w:p>
      <w:pPr>
        <w:pStyle w:val="Heading2"/>
      </w:pPr>
      <w:r>
        <w:rPr>
          <w:color w:val="1F497D"/>
        </w:rPr>
        <w:t>20.5 What the Discussion Chapter Must Explain</w:t>
      </w:r>
    </w:p>
    <w:p>
      <w:r>
        <w:rPr>
          <w:b w:val="0"/>
          <w:i w:val="0"/>
          <w:sz w:val="22"/>
        </w:rPr>
        <w:t>The Discussion chapter has five obligations:</w:t>
      </w:r>
    </w:p>
    <w:p>
      <w:pPr>
        <w:pStyle w:val="ListBullet"/>
      </w:pPr>
      <w:r>
        <w:rPr>
          <w:b w:val="0"/>
          <w:sz w:val="22"/>
        </w:rPr>
        <w:t>WHY rules can't predict: the asymmetry between descriptive discovery (needs only pattern existence, r~0.47 sufficient) and prediction (needs pattern strength to overcome 78% unexplained variance). The same rules that elegantly describe history cannot reliably predict the future when the climate signal is this weak.</w:t>
      </w:r>
    </w:p>
    <w:p>
      <w:pPr>
        <w:pStyle w:val="ListBullet"/>
      </w:pPr>
      <w:r>
        <w:rPr>
          <w:b w:val="0"/>
          <w:sz w:val="22"/>
        </w:rPr>
        <w:t>WHY the two decisions are in tension: better detrending (LOESS) reduces the residual magnitude, removing the signal CarenR needs. Linear detrending leaves more signal but a higher baseline error. This trade-off cannot be resolved without structural covariates that separate non-climate trends from climate residuals.</w:t>
      </w:r>
    </w:p>
    <w:p>
      <w:pPr>
        <w:pStyle w:val="ListBullet"/>
      </w:pPr>
      <w:r>
        <w:rPr>
          <w:b w:val="0"/>
          <w:sz w:val="22"/>
        </w:rPr>
        <w:t>WHY RDD and RVV diverge: production in Douro increased (Douro DOC expansion); production in Vinho Verde collapsed (EU restructuring, rural exodus). The Douro's structural history is less confounded with climate patterns; Vinho Verde's structural collapse dominates the residuals. This explains the 3% vs 22% gap and the opposite era-composition effects.</w:t>
      </w:r>
    </w:p>
    <w:p>
      <w:pPr>
        <w:pStyle w:val="ListBullet"/>
      </w:pPr>
      <w:r>
        <w:rPr>
          <w:b w:val="0"/>
          <w:sz w:val="22"/>
        </w:rPr>
        <w:t>WHY CarenR wins in RDD scenarios 10-14: as training data becomes more era-balanced (~29% post-1990), the era confound in discovered rules weakens and genuine climate signal begins to dominate. The walk-forward metric penalises this by downweighting those scenarios.</w:t>
      </w:r>
    </w:p>
    <w:p>
      <w:pPr>
        <w:pStyle w:val="ListBullet"/>
      </w:pPr>
      <w:r>
        <w:rPr>
          <w:b w:val="0"/>
          <w:sz w:val="22"/>
        </w:rPr>
        <w:t>WHAT would change the result: structural detrending (incorporating vineyard area, production quotas, number of producers); longer time series; higher-resolution spatial climate data. These are future work.</w:t>
      </w:r>
    </w:p>
    <w:p>
      <w:pPr>
        <w:pStyle w:val="Heading2"/>
      </w:pPr>
      <w:r>
        <w:rPr>
          <w:color w:val="1F497D"/>
        </w:rPr>
        <w:t>20.6 Files Available for Thesis Writing</w:t>
      </w:r>
    </w:p>
    <w:tbl>
      <w:tblPr>
        <w:tblStyle w:val="TableGrid"/>
        <w:tblW w:type="auto" w:w="0"/>
        <w:tblLook w:firstColumn="1" w:firstRow="1" w:lastColumn="0" w:lastRow="0" w:noHBand="0" w:noVBand="1" w:val="04A0"/>
      </w:tblPr>
      <w:tblGrid>
        <w:gridCol w:w="4513"/>
        <w:gridCol w:w="4513"/>
      </w:tblGrid>
      <w:tr>
        <w:tc>
          <w:tcPr>
            <w:tcW w:type="dxa" w:w="4513"/>
          </w:tcPr>
          <w:p>
            <w:pPr>
              <w:jc w:val="center"/>
            </w:pPr>
            <w:r>
              <w:rPr>
                <w:b/>
                <w:sz w:val="18"/>
              </w:rPr>
              <w:t>File</w:t>
            </w:r>
          </w:p>
        </w:tc>
        <w:tc>
          <w:tcPr>
            <w:tcW w:type="dxa" w:w="4513"/>
          </w:tcPr>
          <w:p>
            <w:pPr>
              <w:jc w:val="center"/>
            </w:pPr>
            <w:r>
              <w:rPr>
                <w:b/>
                <w:sz w:val="18"/>
              </w:rPr>
              <w:t>Contents</w:t>
            </w:r>
          </w:p>
        </w:tc>
      </w:tr>
      <w:tr>
        <w:tc>
          <w:tcPr>
            <w:tcW w:type="dxa" w:w="4513"/>
          </w:tcPr>
          <w:p>
            <w:pPr>
              <w:jc w:val="left"/>
            </w:pPr>
            <w:r>
              <w:rPr>
                <w:sz w:val="18"/>
              </w:rPr>
              <w:t>docs/experiment_log.docx</w:t>
            </w:r>
          </w:p>
        </w:tc>
        <w:tc>
          <w:tcPr>
            <w:tcW w:type="dxa" w:w="4513"/>
          </w:tcPr>
          <w:p>
            <w:pPr>
              <w:jc w:val="center"/>
            </w:pPr>
            <w:r>
              <w:rPr>
                <w:sz w:val="18"/>
              </w:rPr>
              <w:t>Primary reference — 20 sections, all decisions, findings, numbers, chapter structure, thesis sentence, future work. READ THIS FIRST.</w:t>
            </w:r>
          </w:p>
        </w:tc>
      </w:tr>
      <w:tr>
        <w:tc>
          <w:tcPr>
            <w:tcW w:type="dxa" w:w="4513"/>
          </w:tcPr>
          <w:p>
            <w:pPr>
              <w:jc w:val="left"/>
            </w:pPr>
            <w:r>
              <w:rPr>
                <w:sz w:val="18"/>
              </w:rPr>
              <w:t>Thesis_Progress_Report_June2026.docx</w:t>
            </w:r>
          </w:p>
        </w:tc>
        <w:tc>
          <w:tcPr>
            <w:tcW w:type="dxa" w:w="4513"/>
          </w:tcPr>
          <w:p>
            <w:pPr>
              <w:jc w:val="center"/>
            </w:pPr>
            <w:r>
              <w:rPr>
                <w:sz w:val="18"/>
              </w:rPr>
              <w:t>Shorter summary with tables, rule examples (RIPPER/CarenR), learning curve figures referenced</w:t>
            </w:r>
          </w:p>
        </w:tc>
      </w:tr>
      <w:tr>
        <w:tc>
          <w:tcPr>
            <w:tcW w:type="dxa" w:w="4513"/>
          </w:tcPr>
          <w:p>
            <w:pPr>
              <w:jc w:val="left"/>
            </w:pPr>
            <w:r>
              <w:rPr>
                <w:sz w:val="18"/>
              </w:rPr>
              <w:t>data/linear/rules_interpreted_rdd.txt</w:t>
            </w:r>
          </w:p>
        </w:tc>
        <w:tc>
          <w:tcPr>
            <w:tcW w:type="dxa" w:w="4513"/>
          </w:tcPr>
          <w:p>
            <w:pPr>
              <w:jc w:val="center"/>
            </w:pPr>
            <w:r>
              <w:rPr>
                <w:sz w:val="18"/>
              </w:rPr>
              <w:t>48 CarenR rules for Douro in plain English with agronomic pathways</w:t>
            </w:r>
          </w:p>
        </w:tc>
      </w:tr>
      <w:tr>
        <w:tc>
          <w:tcPr>
            <w:tcW w:type="dxa" w:w="4513"/>
          </w:tcPr>
          <w:p>
            <w:pPr>
              <w:jc w:val="left"/>
            </w:pPr>
            <w:r>
              <w:rPr>
                <w:sz w:val="18"/>
              </w:rPr>
              <w:t>data/linear/rules_interpreted_rvv.txt</w:t>
            </w:r>
          </w:p>
        </w:tc>
        <w:tc>
          <w:tcPr>
            <w:tcW w:type="dxa" w:w="4513"/>
          </w:tcPr>
          <w:p>
            <w:pPr>
              <w:jc w:val="center"/>
            </w:pPr>
            <w:r>
              <w:rPr>
                <w:sz w:val="18"/>
              </w:rPr>
              <w:t>20 CarenR rules for Vinho Verde in plain English</w:t>
            </w:r>
          </w:p>
        </w:tc>
      </w:tr>
      <w:tr>
        <w:tc>
          <w:tcPr>
            <w:tcW w:type="dxa" w:w="4513"/>
          </w:tcPr>
          <w:p>
            <w:pPr>
              <w:jc w:val="left"/>
            </w:pPr>
            <w:r>
              <w:rPr>
                <w:sz w:val="18"/>
              </w:rPr>
              <w:t>data/linear/ripper_interpreted_rdd.txt</w:t>
            </w:r>
          </w:p>
        </w:tc>
        <w:tc>
          <w:tcPr>
            <w:tcW w:type="dxa" w:w="4513"/>
          </w:tcPr>
          <w:p>
            <w:pPr>
              <w:jc w:val="center"/>
            </w:pPr>
            <w:r>
              <w:rPr>
                <w:sz w:val="18"/>
              </w:rPr>
              <w:t>RIPPER rules for Douro with precision/support stats</w:t>
            </w:r>
          </w:p>
        </w:tc>
      </w:tr>
      <w:tr>
        <w:tc>
          <w:tcPr>
            <w:tcW w:type="dxa" w:w="4513"/>
          </w:tcPr>
          <w:p>
            <w:pPr>
              <w:jc w:val="left"/>
            </w:pPr>
            <w:r>
              <w:rPr>
                <w:sz w:val="18"/>
              </w:rPr>
              <w:t>data/linear/ripper_interpreted_rvv.txt</w:t>
            </w:r>
          </w:p>
        </w:tc>
        <w:tc>
          <w:tcPr>
            <w:tcW w:type="dxa" w:w="4513"/>
          </w:tcPr>
          <w:p>
            <w:pPr>
              <w:jc w:val="center"/>
            </w:pPr>
            <w:r>
              <w:rPr>
                <w:sz w:val="18"/>
              </w:rPr>
              <w:t>RIPPER rules for Vinho Verde</w:t>
            </w:r>
          </w:p>
        </w:tc>
      </w:tr>
      <w:tr>
        <w:tc>
          <w:tcPr>
            <w:tcW w:type="dxa" w:w="4513"/>
          </w:tcPr>
          <w:p>
            <w:pPr>
              <w:jc w:val="left"/>
            </w:pPr>
            <w:r>
              <w:rPr>
                <w:sz w:val="18"/>
              </w:rPr>
              <w:t>data/linear/scenario_summary_rdd.csv</w:t>
            </w:r>
          </w:p>
        </w:tc>
        <w:tc>
          <w:tcPr>
            <w:tcW w:type="dxa" w:w="4513"/>
          </w:tcPr>
          <w:p>
            <w:pPr>
              <w:jc w:val="center"/>
            </w:pPr>
            <w:r>
              <w:rPr>
                <w:sz w:val="18"/>
              </w:rPr>
              <w:t>17-model aggregate results for RDD (mean MAE, weighted MAE, SD, R²)</w:t>
            </w:r>
          </w:p>
        </w:tc>
      </w:tr>
      <w:tr>
        <w:tc>
          <w:tcPr>
            <w:tcW w:type="dxa" w:w="4513"/>
          </w:tcPr>
          <w:p>
            <w:pPr>
              <w:jc w:val="left"/>
            </w:pPr>
            <w:r>
              <w:rPr>
                <w:sz w:val="18"/>
              </w:rPr>
              <w:t>data/linear/scenario_summary_rvv.csv</w:t>
            </w:r>
          </w:p>
        </w:tc>
        <w:tc>
          <w:tcPr>
            <w:tcW w:type="dxa" w:w="4513"/>
          </w:tcPr>
          <w:p>
            <w:pPr>
              <w:jc w:val="center"/>
            </w:pPr>
            <w:r>
              <w:rPr>
                <w:sz w:val="18"/>
              </w:rPr>
              <w:t>17-model aggregate results for RVV</w:t>
            </w:r>
          </w:p>
        </w:tc>
      </w:tr>
      <w:tr>
        <w:tc>
          <w:tcPr>
            <w:tcW w:type="dxa" w:w="4513"/>
          </w:tcPr>
          <w:p>
            <w:pPr>
              <w:jc w:val="left"/>
            </w:pPr>
            <w:r>
              <w:rPr>
                <w:sz w:val="18"/>
              </w:rPr>
              <w:t>data/linear/scenario_metrics_rdd.csv</w:t>
            </w:r>
          </w:p>
        </w:tc>
        <w:tc>
          <w:tcPr>
            <w:tcW w:type="dxa" w:w="4513"/>
          </w:tcPr>
          <w:p>
            <w:pPr>
              <w:jc w:val="center"/>
            </w:pPr>
            <w:r>
              <w:rPr>
                <w:sz w:val="18"/>
              </w:rPr>
              <w:t>Per-scenario MAE for all models — RDD</w:t>
            </w:r>
          </w:p>
        </w:tc>
      </w:tr>
      <w:tr>
        <w:tc>
          <w:tcPr>
            <w:tcW w:type="dxa" w:w="4513"/>
          </w:tcPr>
          <w:p>
            <w:pPr>
              <w:jc w:val="left"/>
            </w:pPr>
            <w:r>
              <w:rPr>
                <w:sz w:val="18"/>
              </w:rPr>
              <w:t>data/linear/scenario_metrics_rvv.csv</w:t>
            </w:r>
          </w:p>
        </w:tc>
        <w:tc>
          <w:tcPr>
            <w:tcW w:type="dxa" w:w="4513"/>
          </w:tcPr>
          <w:p>
            <w:pPr>
              <w:jc w:val="center"/>
            </w:pPr>
            <w:r>
              <w:rPr>
                <w:sz w:val="18"/>
              </w:rPr>
              <w:t>Per-scenario MAE for all models — RVV</w:t>
            </w:r>
          </w:p>
        </w:tc>
      </w:tr>
      <w:tr>
        <w:tc>
          <w:tcPr>
            <w:tcW w:type="dxa" w:w="4513"/>
          </w:tcPr>
          <w:p>
            <w:pPr>
              <w:jc w:val="left"/>
            </w:pPr>
            <w:r>
              <w:rPr>
                <w:sz w:val="18"/>
              </w:rPr>
              <w:t>data/linear/plot_comparison_weighted_mae.png</w:t>
            </w:r>
          </w:p>
        </w:tc>
        <w:tc>
          <w:tcPr>
            <w:tcW w:type="dxa" w:w="4513"/>
          </w:tcPr>
          <w:p>
            <w:pPr>
              <w:jc w:val="center"/>
            </w:pPr>
            <w:r>
              <w:rPr>
                <w:sz w:val="18"/>
              </w:rPr>
              <w:t>Bar chart: all models ranked by weighted MAE (RVV)</w:t>
            </w:r>
          </w:p>
        </w:tc>
      </w:tr>
      <w:tr>
        <w:tc>
          <w:tcPr>
            <w:tcW w:type="dxa" w:w="4513"/>
          </w:tcPr>
          <w:p>
            <w:pPr>
              <w:jc w:val="left"/>
            </w:pPr>
            <w:r>
              <w:rPr>
                <w:sz w:val="18"/>
              </w:rPr>
              <w:t>data/linear/plot_learning_curve_rdd.png</w:t>
            </w:r>
          </w:p>
        </w:tc>
        <w:tc>
          <w:tcPr>
            <w:tcW w:type="dxa" w:w="4513"/>
          </w:tcPr>
          <w:p>
            <w:pPr>
              <w:jc w:val="center"/>
            </w:pPr>
            <w:r>
              <w:rPr>
                <w:sz w:val="18"/>
              </w:rPr>
              <w:t>Learning curve: MAE vs training size (RDD)</w:t>
            </w:r>
          </w:p>
        </w:tc>
      </w:tr>
      <w:tr>
        <w:tc>
          <w:tcPr>
            <w:tcW w:type="dxa" w:w="4513"/>
          </w:tcPr>
          <w:p>
            <w:pPr>
              <w:jc w:val="left"/>
            </w:pPr>
            <w:r>
              <w:rPr>
                <w:sz w:val="18"/>
              </w:rPr>
              <w:t>data/linear/plot_learning_curve_rvv.png</w:t>
            </w:r>
          </w:p>
        </w:tc>
        <w:tc>
          <w:tcPr>
            <w:tcW w:type="dxa" w:w="4513"/>
          </w:tcPr>
          <w:p>
            <w:pPr>
              <w:jc w:val="center"/>
            </w:pPr>
            <w:r>
              <w:rPr>
                <w:sz w:val="18"/>
              </w:rPr>
              <w:t>Learning curve: MAE vs training size (RVV)</w:t>
            </w:r>
          </w:p>
        </w:tc>
      </w:tr>
      <w:tr>
        <w:tc>
          <w:tcPr>
            <w:tcW w:type="dxa" w:w="4513"/>
          </w:tcPr>
          <w:p>
            <w:pPr>
              <w:jc w:val="left"/>
            </w:pPr>
            <w:r>
              <w:rPr>
                <w:sz w:val="18"/>
              </w:rPr>
              <w:t>src/rscripts/6_scenario_validation.R</w:t>
            </w:r>
          </w:p>
        </w:tc>
        <w:tc>
          <w:tcPr>
            <w:tcW w:type="dxa" w:w="4513"/>
          </w:tcPr>
          <w:p>
            <w:pPr>
              <w:jc w:val="center"/>
            </w:pPr>
            <w:r>
              <w:rPr>
                <w:sz w:val="18"/>
              </w:rPr>
              <w:t>Main pipeline — walk-forward validation, all 17 models</w:t>
            </w:r>
          </w:p>
        </w:tc>
      </w:tr>
      <w:tr>
        <w:tc>
          <w:tcPr>
            <w:tcW w:type="dxa" w:w="4513"/>
          </w:tcPr>
          <w:p>
            <w:pPr>
              <w:jc w:val="left"/>
            </w:pPr>
            <w:r>
              <w:rPr>
                <w:sz w:val="18"/>
              </w:rPr>
              <w:t>src/rscripts/9_rule_interpreter.R</w:t>
            </w:r>
          </w:p>
        </w:tc>
        <w:tc>
          <w:tcPr>
            <w:tcW w:type="dxa" w:w="4513"/>
          </w:tcPr>
          <w:p>
            <w:pPr>
              <w:jc w:val="center"/>
            </w:pPr>
            <w:r>
              <w:rPr>
                <w:sz w:val="18"/>
              </w:rPr>
              <w:t>Rule interpreter — translates CarenR/RIPPER/M5 output to English</w:t>
            </w:r>
          </w:p>
        </w:tc>
      </w:tr>
      <w:tr>
        <w:tc>
          <w:tcPr>
            <w:tcW w:type="dxa" w:w="4513"/>
          </w:tcPr>
          <w:p>
            <w:pPr>
              <w:jc w:val="left"/>
            </w:pPr>
            <w:r>
              <w:rPr>
                <w:sz w:val="18"/>
              </w:rPr>
              <w:t>src/rscripts/utils/config.R</w:t>
            </w:r>
          </w:p>
        </w:tc>
        <w:tc>
          <w:tcPr>
            <w:tcW w:type="dxa" w:w="4513"/>
          </w:tcPr>
          <w:p>
            <w:pPr>
              <w:jc w:val="center"/>
            </w:pPr>
            <w:r>
              <w:rPr>
                <w:sz w:val="18"/>
              </w:rPr>
              <w:t>Pipeline configuration — detrend method, hyperparameters</w:t>
            </w:r>
          </w:p>
        </w:tc>
      </w:tr>
    </w:tbl>
    <w:p>
      <w:r>
        <w:rPr>
          <w:b w:val="0"/>
          <w:i w:val="0"/>
          <w:sz w:val="22"/>
        </w:rPr>
      </w:r>
    </w:p>
    <w:p>
      <w:pPr>
        <w:pStyle w:val="Heading2"/>
      </w:pPr>
      <w:r>
        <w:rPr>
          <w:color w:val="1F497D"/>
        </w:rPr>
        <w:t>20.7 Instructions for Another Chat Writing the Thesis</w:t>
      </w:r>
    </w:p>
    <w:p>
      <w:r>
        <w:rPr>
          <w:b/>
          <w:i w:val="0"/>
          <w:sz w:val="22"/>
        </w:rPr>
        <w:t>If providing this to another assistant to write thesis chapters, give it these files and this instruction:</w:t>
      </w:r>
    </w:p>
    <w:p>
      <w:r>
        <w:rPr>
          <w:b w:val="0"/>
          <w:i/>
          <w:sz w:val="20"/>
        </w:rPr>
        <w:t xml:space="preserve">"You are helping write an MSc thesis on rule-based machine learning for wine production forecasting in Portugal. The full research is complete. </w:t>
        <w:br/>
        <w:br/>
        <w:t xml:space="preserve">PRIMARY REFERENCE: docs/experiment_log.docx (88 KB, 21 sections — attach this file to the chat). Read in this order: Section 18 (overall framing and thesis sentence), Section 20 (complete hand-off guide with all numbers and file list), Section 21 (pre-writing validation — contains corrected M5Rules figures, LOESS RDD results, and statistical tests that supersede Section 20.4). Section 19 (RVV per-scenario era analysis — the regional contrast). Section 15 (RDD era-composition finding — CarenR wins in scen. 10-14). </w:t>
        <w:br/>
        <w:br/>
        <w:t xml:space="preserve">THE RESEARCH IN ONE PARAGRAPH: Two goals: (1) rule discovery — CarenR finds 48 rules for Douro and 20 for Vinho Verde; harvest-period soil water and flowering moisture are the dominant drivers in both regions. (2) walk-forward prediction — no model beats Naive_Median overall; CarenR_Dist_Eta2 conditionally beats Naive in Douro in era-balanced scenarios (post-hoc, p=0.031); CarenR rules actively hurt prediction in Vinho Verde (p=0.004). Organising framework: two-decision decomposition — Decision 1 (detrend quality) and Decision 2 (climate signal extraction) are in fundamental tension and cannot both be maximised simultaneously. </w:t>
        <w:br/>
        <w:br/>
        <w:t xml:space="preserve">KEY NUMBERS (use Section 21.5 for corrected values): RDD Naive_Median 184 mhl (linear), 290 mhl (LOESS); RVV Naive_Median 140 mhl (linear), ~90 mhl (LOESS). Best CarenR: RDD 189 mhl (Eta2, +3%), RVV 172 mhl (Sup_FS, +22%). M5Rules: 2 rules RDD (CV R2=0.004), 3 rules RVV (CV R2=-0.07). Statistical tests: overall Wilcoxon p=0.468 (not significant); era-balanced binomial p=0.031 (POST-HOC — write as exploratory); RVV rules harmful Wilcoxon p=0.004 (confirmatory). </w:t>
        <w:br/>
        <w:br/>
        <w:t xml:space="preserve">CRITICAL WRITING RULE: the p=0.031 result is POST-HOC. Write it as: "A post-hoc analysis suggests..." NOT as "we confirmed..." — see Section 21.4 for full explanation. </w:t>
        <w:br/>
        <w:br/>
        <w:t xml:space="preserve">FILES TO ATTACH: docs/experiment_log.docx (primary), Thesis_Progress_Report_June2026.docx (tables and figures), data/linear/rules_interpreted_rdd.txt (48 CarenR rules, Douro), data/linear/rules_interpreted_rvv.txt (20 CarenR rules, Vinho Verde), data/linear/ripper_interpreted_rdd.txt, data/linear/ripper_interpreted_rvv.txt, data/linear/m5rules_interpreted_rdd.txt, data/linear/m5rules_interpreted_rvv.txt, data/linear/scenario_summary_rdd.csv, data/linear/scenario_summary_rvv.csv. </w:t>
        <w:br/>
        <w:br/>
        <w:t>WRITING STYLE: academic English, MSc thesis, third person, past tense for methods and results. Do not speculate beyond what is in the experiment log. Every number cited must come from Section 21.5/21.6 or the CSV files. Suggested chapter structure is in Section 18.6."</w:t>
      </w:r>
    </w:p>
    <w:p>
      <w:r>
        <w:br w:type="page"/>
      </w:r>
    </w:p>
    <w:p>
      <w:pPr>
        <w:pStyle w:val="Heading1"/>
      </w:pPr>
      <w:r>
        <w:rPr>
          <w:color w:val="1F497D"/>
        </w:rPr>
        <w:t>21. Pre-Writing Validation — All Gaps Resolved</w:t>
      </w:r>
    </w:p>
    <w:p>
      <w:r>
        <w:rPr>
          <w:b w:val="0"/>
          <w:i w:val="0"/>
          <w:sz w:val="22"/>
        </w:rPr>
        <w:t>Before thesis writing, four outstanding gaps were identified and resolved. This section documents what was done and the new findings from each.</w:t>
      </w:r>
    </w:p>
    <w:p>
      <w:pPr>
        <w:pStyle w:val="Heading2"/>
      </w:pPr>
      <w:r>
        <w:rPr>
          <w:color w:val="1F497D"/>
        </w:rPr>
        <w:t>21.1 RDD Dataset Currency — Verified</w:t>
      </w:r>
    </w:p>
    <w:p>
      <w:r>
        <w:rPr>
          <w:b w:val="0"/>
          <w:i w:val="0"/>
          <w:sz w:val="22"/>
        </w:rPr>
        <w:t>The RDD dataset (dataPrep_cont_dataset_rdd.csv) and the CarenR rule files (RulesTemp_rdd_linear.csv) were both last modified May 22 at 00:39 and 00:41 respectively. No uncommitted changes existed. The rules are current with the data — no re-run of Script 3 required.</w:t>
      </w:r>
    </w:p>
    <w:p>
      <w:pPr>
        <w:pStyle w:val="Heading2"/>
      </w:pPr>
      <w:r>
        <w:rPr>
          <w:color w:val="1F497D"/>
        </w:rPr>
        <w:t>21.2 M5Rules Structured Output — Fixed</w:t>
      </w:r>
    </w:p>
    <w:p>
      <w:r>
        <w:rPr>
          <w:b w:val="0"/>
          <w:i w:val="0"/>
          <w:sz w:val="22"/>
        </w:rPr>
        <w:t>Two bugs were identified and fixed in the M5Rules pipeline:</w:t>
      </w:r>
    </w:p>
    <w:p>
      <w:pPr>
        <w:pStyle w:val="ListBullet"/>
      </w:pPr>
      <w:r>
        <w:rPr>
          <w:b w:val="0"/>
          <w:sz w:val="22"/>
        </w:rPr>
        <w:t>Data leakage: Script 5 included Wine_mhl_original (same-year actual production) as a predictor feature. This inflated CV R2 from ~0.004 to ~0.505 (RDD) — the model was predicting residuals using the very values they were derived from. Fixed by excluding Wine_mhl_original from the feature matrix.</w:t>
      </w:r>
    </w:p>
    <w:p>
      <w:pPr>
        <w:pStyle w:val="ListBullet"/>
      </w:pPr>
      <w:r>
        <w:rPr>
          <w:b w:val="0"/>
          <w:sz w:val="22"/>
        </w:rPr>
        <w:t>Parser format mismatch: Script 5's structured CSV parser expected 'LM num: N' format but Weka M5Rules outputs 'Rule: N'. The regex was updated to match both. Structured CSV files now generated correctly for both regions.</w:t>
      </w:r>
    </w:p>
    <w:p>
      <w:r>
        <w:rPr>
          <w:b w:val="0"/>
          <w:i w:val="0"/>
          <w:sz w:val="22"/>
        </w:rPr>
        <w:t>M5Rules corrected results (full dataset, no leakage):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center"/>
            </w:pPr>
            <w:r>
              <w:rPr>
                <w:b/>
                <w:sz w:val="18"/>
              </w:rPr>
              <w:t>Region</w:t>
            </w:r>
          </w:p>
        </w:tc>
        <w:tc>
          <w:tcPr>
            <w:tcW w:type="dxa" w:w="1504"/>
          </w:tcPr>
          <w:p>
            <w:pPr>
              <w:jc w:val="center"/>
            </w:pPr>
            <w:r>
              <w:rPr>
                <w:b/>
                <w:sz w:val="18"/>
              </w:rPr>
              <w:t>Rules found</w:t>
            </w:r>
          </w:p>
        </w:tc>
        <w:tc>
          <w:tcPr>
            <w:tcW w:type="dxa" w:w="1504"/>
          </w:tcPr>
          <w:p>
            <w:pPr>
              <w:jc w:val="center"/>
            </w:pPr>
            <w:r>
              <w:rPr>
                <w:b/>
                <w:sz w:val="18"/>
              </w:rPr>
              <w:t>Training MAE</w:t>
            </w:r>
          </w:p>
        </w:tc>
        <w:tc>
          <w:tcPr>
            <w:tcW w:type="dxa" w:w="1504"/>
          </w:tcPr>
          <w:p>
            <w:pPr>
              <w:jc w:val="center"/>
            </w:pPr>
            <w:r>
              <w:rPr>
                <w:b/>
                <w:sz w:val="18"/>
              </w:rPr>
              <w:t>CV MAE (10-fold)</w:t>
            </w:r>
          </w:p>
        </w:tc>
        <w:tc>
          <w:tcPr>
            <w:tcW w:type="dxa" w:w="1504"/>
          </w:tcPr>
          <w:p>
            <w:pPr>
              <w:jc w:val="center"/>
            </w:pPr>
            <w:r>
              <w:rPr>
                <w:b/>
                <w:sz w:val="18"/>
              </w:rPr>
              <w:t>CV R²</w:t>
            </w:r>
          </w:p>
        </w:tc>
        <w:tc>
          <w:tcPr>
            <w:tcW w:type="dxa" w:w="1504"/>
          </w:tcPr>
          <w:p>
            <w:pPr>
              <w:jc w:val="center"/>
            </w:pPr>
            <w:r>
              <w:rPr>
                <w:b/>
                <w:sz w:val="18"/>
              </w:rPr>
              <w:t>vs Naive baseline</w:t>
            </w:r>
          </w:p>
        </w:tc>
      </w:tr>
      <w:tr>
        <w:tc>
          <w:tcPr>
            <w:tcW w:type="dxa" w:w="1504"/>
          </w:tcPr>
          <w:p>
            <w:pPr>
              <w:jc w:val="left"/>
            </w:pPr>
            <w:r>
              <w:rPr>
                <w:sz w:val="18"/>
              </w:rPr>
              <w:t>RDD (Douro)</w:t>
            </w:r>
          </w:p>
        </w:tc>
        <w:tc>
          <w:tcPr>
            <w:tcW w:type="dxa" w:w="1504"/>
          </w:tcPr>
          <w:p>
            <w:pPr>
              <w:jc w:val="center"/>
            </w:pPr>
            <w:r>
              <w:rPr>
                <w:sz w:val="18"/>
              </w:rPr>
              <w:t>2</w:t>
            </w:r>
          </w:p>
        </w:tc>
        <w:tc>
          <w:tcPr>
            <w:tcW w:type="dxa" w:w="1504"/>
          </w:tcPr>
          <w:p>
            <w:pPr>
              <w:jc w:val="center"/>
            </w:pPr>
            <w:r>
              <w:rPr>
                <w:sz w:val="18"/>
              </w:rPr>
              <w:t>125 mhl</w:t>
            </w:r>
          </w:p>
        </w:tc>
        <w:tc>
          <w:tcPr>
            <w:tcW w:type="dxa" w:w="1504"/>
          </w:tcPr>
          <w:p>
            <w:pPr>
              <w:jc w:val="center"/>
            </w:pPr>
            <w:r>
              <w:rPr>
                <w:sz w:val="18"/>
              </w:rPr>
              <w:t>183 mhl</w:t>
            </w:r>
          </w:p>
        </w:tc>
        <w:tc>
          <w:tcPr>
            <w:tcW w:type="dxa" w:w="1504"/>
          </w:tcPr>
          <w:p>
            <w:pPr>
              <w:jc w:val="center"/>
            </w:pPr>
            <w:r>
              <w:rPr>
                <w:sz w:val="18"/>
              </w:rPr>
              <w:t>0.004</w:t>
            </w:r>
          </w:p>
        </w:tc>
        <w:tc>
          <w:tcPr>
            <w:tcW w:type="dxa" w:w="1504"/>
          </w:tcPr>
          <w:p>
            <w:pPr>
              <w:jc w:val="center"/>
            </w:pPr>
            <w:r>
              <w:rPr>
                <w:sz w:val="18"/>
              </w:rPr>
              <w:t>+4.4% better than baseline</w:t>
            </w:r>
          </w:p>
        </w:tc>
      </w:tr>
      <w:tr>
        <w:tc>
          <w:tcPr>
            <w:tcW w:type="dxa" w:w="1504"/>
          </w:tcPr>
          <w:p>
            <w:pPr>
              <w:jc w:val="left"/>
            </w:pPr>
            <w:r>
              <w:rPr>
                <w:sz w:val="18"/>
              </w:rPr>
              <w:t>RVV (Vinho Verde)</w:t>
            </w:r>
          </w:p>
        </w:tc>
        <w:tc>
          <w:tcPr>
            <w:tcW w:type="dxa" w:w="1504"/>
          </w:tcPr>
          <w:p>
            <w:pPr>
              <w:jc w:val="center"/>
            </w:pPr>
            <w:r>
              <w:rPr>
                <w:sz w:val="18"/>
              </w:rPr>
              <w:t>3</w:t>
            </w:r>
          </w:p>
        </w:tc>
        <w:tc>
          <w:tcPr>
            <w:tcW w:type="dxa" w:w="1504"/>
          </w:tcPr>
          <w:p>
            <w:pPr>
              <w:jc w:val="center"/>
            </w:pPr>
            <w:r>
              <w:rPr>
                <w:sz w:val="18"/>
              </w:rPr>
              <w:t>269 mhl</w:t>
            </w:r>
          </w:p>
        </w:tc>
        <w:tc>
          <w:tcPr>
            <w:tcW w:type="dxa" w:w="1504"/>
          </w:tcPr>
          <w:p>
            <w:pPr>
              <w:jc w:val="center"/>
            </w:pPr>
            <w:r>
              <w:rPr>
                <w:sz w:val="18"/>
              </w:rPr>
              <w:t>440 mhl</w:t>
            </w:r>
          </w:p>
        </w:tc>
        <w:tc>
          <w:tcPr>
            <w:tcW w:type="dxa" w:w="1504"/>
          </w:tcPr>
          <w:p>
            <w:pPr>
              <w:jc w:val="center"/>
            </w:pPr>
            <w:r>
              <w:rPr>
                <w:sz w:val="18"/>
              </w:rPr>
              <w:t>-0.07</w:t>
            </w:r>
          </w:p>
        </w:tc>
        <w:tc>
          <w:tcPr>
            <w:tcW w:type="dxa" w:w="1504"/>
          </w:tcPr>
          <w:p>
            <w:pPr>
              <w:jc w:val="center"/>
            </w:pPr>
            <w:r>
              <w:rPr>
                <w:sz w:val="18"/>
              </w:rPr>
              <w:t>-6.6% worse than baseline</w:t>
            </w:r>
          </w:p>
        </w:tc>
      </w:tr>
    </w:tbl>
    <w:p>
      <w:r>
        <w:rPr>
          <w:b w:val="0"/>
          <w:i w:val="0"/>
          <w:sz w:val="22"/>
        </w:rPr>
      </w:r>
    </w:p>
    <w:p>
      <w:r>
        <w:rPr>
          <w:b w:val="0"/>
          <w:i w:val="0"/>
          <w:sz w:val="22"/>
        </w:rPr>
        <w:t>RDD M5Rules: 2 rules using temperature at maturity, temperature at harvest, and soil water at harvest — consistent with CarenR top features. Very slight CV improvement (4.4%) confirms the signal is real but weak. RVV M5Rules: 3 rules, worse than naive out-of-sample (R²=-0.07), confirming overfitting. Both regions confirm M5Rules overfits with n=80-89.</w:t>
      </w:r>
    </w:p>
    <w:p>
      <w:r>
        <w:rPr>
          <w:b w:val="0"/>
          <w:i w:val="0"/>
          <w:sz w:val="22"/>
        </w:rPr>
        <w:t>Files generated: m5rules_interpreted_rdd.txt/.csv and m5rules_interpreted_rvv.txt/.csv</w:t>
      </w:r>
    </w:p>
    <w:p>
      <w:pPr>
        <w:pStyle w:val="Heading2"/>
      </w:pPr>
      <w:r>
        <w:rPr>
          <w:color w:val="1F497D"/>
        </w:rPr>
        <w:t>21.3 LOESS Detrending for RDD — New Finding</w:t>
      </w:r>
    </w:p>
    <w:p>
      <w:r>
        <w:rPr>
          <w:b w:val="0"/>
          <w:i w:val="0"/>
          <w:sz w:val="22"/>
        </w:rPr>
        <w:t>LOESS detrending (span=0.40) was run on RDD to complete the symmetric comparison between detrend methods across both regions. The result is strikingly different from RVV and constitutes a new thesis finding:</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center"/>
            </w:pPr>
            <w:r>
              <w:rPr>
                <w:b/>
                <w:sz w:val="18"/>
              </w:rPr>
              <w:t>Method</w:t>
            </w:r>
          </w:p>
        </w:tc>
        <w:tc>
          <w:tcPr>
            <w:tcW w:type="dxa" w:w="2256"/>
          </w:tcPr>
          <w:p>
            <w:pPr>
              <w:jc w:val="center"/>
            </w:pPr>
            <w:r>
              <w:rPr>
                <w:b/>
                <w:sz w:val="18"/>
              </w:rPr>
              <w:t>RDD Naive_Median wtd MAE</w:t>
            </w:r>
          </w:p>
        </w:tc>
        <w:tc>
          <w:tcPr>
            <w:tcW w:type="dxa" w:w="2256"/>
          </w:tcPr>
          <w:p>
            <w:pPr>
              <w:jc w:val="center"/>
            </w:pPr>
            <w:r>
              <w:rPr>
                <w:b/>
                <w:sz w:val="18"/>
              </w:rPr>
              <w:t>RVV Naive_Median wtd MAE</w:t>
            </w:r>
          </w:p>
        </w:tc>
        <w:tc>
          <w:tcPr>
            <w:tcW w:type="dxa" w:w="2256"/>
          </w:tcPr>
          <w:p>
            <w:pPr>
              <w:jc w:val="center"/>
            </w:pPr>
            <w:r>
              <w:rPr>
                <w:b/>
                <w:sz w:val="18"/>
              </w:rPr>
              <w:t>LOESS better?</w:t>
            </w:r>
          </w:p>
        </w:tc>
      </w:tr>
      <w:tr>
        <w:tc>
          <w:tcPr>
            <w:tcW w:type="dxa" w:w="2256"/>
          </w:tcPr>
          <w:p>
            <w:pPr>
              <w:jc w:val="left"/>
            </w:pPr>
            <w:r>
              <w:rPr>
                <w:sz w:val="18"/>
              </w:rPr>
              <w:t>Linear detrend</w:t>
            </w:r>
          </w:p>
        </w:tc>
        <w:tc>
          <w:tcPr>
            <w:tcW w:type="dxa" w:w="2256"/>
          </w:tcPr>
          <w:p>
            <w:pPr>
              <w:jc w:val="center"/>
            </w:pPr>
            <w:r>
              <w:rPr>
                <w:sz w:val="18"/>
              </w:rPr>
              <w:t>184 mhl</w:t>
            </w:r>
          </w:p>
        </w:tc>
        <w:tc>
          <w:tcPr>
            <w:tcW w:type="dxa" w:w="2256"/>
          </w:tcPr>
          <w:p>
            <w:pPr>
              <w:jc w:val="center"/>
            </w:pPr>
            <w:r>
              <w:rPr>
                <w:sz w:val="18"/>
              </w:rPr>
              <w:t>140 mhl</w:t>
            </w:r>
          </w:p>
        </w:tc>
        <w:tc>
          <w:tcPr>
            <w:tcW w:type="dxa" w:w="2256"/>
          </w:tcPr>
          <w:p>
            <w:pPr>
              <w:jc w:val="center"/>
            </w:pPr>
            <w:r>
              <w:rPr>
                <w:sz w:val="18"/>
              </w:rPr>
              <w:t>—</w:t>
            </w:r>
          </w:p>
        </w:tc>
      </w:tr>
      <w:tr>
        <w:tc>
          <w:tcPr>
            <w:tcW w:type="dxa" w:w="2256"/>
          </w:tcPr>
          <w:p>
            <w:pPr>
              <w:jc w:val="left"/>
            </w:pPr>
            <w:r>
              <w:rPr>
                <w:color w:val="C00000"/>
                <w:sz w:val="18"/>
              </w:rPr>
              <w:t>LOESS (span=0.40)</w:t>
            </w:r>
          </w:p>
        </w:tc>
        <w:tc>
          <w:tcPr>
            <w:tcW w:type="dxa" w:w="2256"/>
          </w:tcPr>
          <w:p>
            <w:pPr>
              <w:jc w:val="center"/>
            </w:pPr>
            <w:r>
              <w:rPr>
                <w:color w:val="C00000"/>
                <w:sz w:val="18"/>
              </w:rPr>
              <w:t>290 mhl</w:t>
            </w:r>
          </w:p>
        </w:tc>
        <w:tc>
          <w:tcPr>
            <w:tcW w:type="dxa" w:w="2256"/>
          </w:tcPr>
          <w:p>
            <w:pPr>
              <w:jc w:val="center"/>
            </w:pPr>
            <w:r>
              <w:rPr>
                <w:color w:val="C00000"/>
                <w:sz w:val="18"/>
              </w:rPr>
              <w:t>~90 mhl</w:t>
            </w:r>
          </w:p>
        </w:tc>
        <w:tc>
          <w:tcPr>
            <w:tcW w:type="dxa" w:w="2256"/>
          </w:tcPr>
          <w:p>
            <w:pPr>
              <w:jc w:val="center"/>
            </w:pPr>
            <w:r>
              <w:rPr>
                <w:color w:val="C00000"/>
                <w:sz w:val="18"/>
              </w:rPr>
              <w:t>RVV yes (+36%), RDD NO (−58%)</w:t>
            </w:r>
          </w:p>
        </w:tc>
      </w:tr>
    </w:tbl>
    <w:p>
      <w:r>
        <w:rPr>
          <w:b w:val="0"/>
          <w:i w:val="0"/>
          <w:sz w:val="22"/>
        </w:rPr>
      </w:r>
    </w:p>
    <w:p>
      <w:r>
        <w:rPr>
          <w:b w:val="0"/>
          <w:i w:val="0"/>
          <w:sz w:val="22"/>
        </w:rPr>
        <w:t>LOESS HURTS detrending for RDD (+58% worse) but HELPS for RVV (−36% better). This is not contradictory — it reflects the different structural shapes of the two production trajectories:</w:t>
      </w:r>
    </w:p>
    <w:p>
      <w:pPr>
        <w:pStyle w:val="ListBullet"/>
      </w:pPr>
      <w:r>
        <w:rPr>
          <w:b w:val="0"/>
          <w:sz w:val="22"/>
        </w:rPr>
        <w:t>RVV (declining trend): LOESS with span=0.40 captures the rapid post-1980 collapse well, leaving small residuals. The flexible fit matches the actual structural shape. Test residuals are smaller → lower Naive_Median MAE.</w:t>
      </w:r>
    </w:p>
    <w:p>
      <w:pPr>
        <w:pStyle w:val="ListBullet"/>
      </w:pPr>
      <w:r>
        <w:rPr>
          <w:b w:val="0"/>
          <w:sz w:val="22"/>
        </w:rPr>
        <w:t>RDD (increasing then plateau): LOESS extrapolates the last portion of the training trend into the test period. If the production plateaued around 2000-2004 but LOESS projects a continued slope, test residuals are inflated. The rigid linear trend happens to extrapolate more accurately for RDD's plateau-shaped production history.</w:t>
      </w:r>
    </w:p>
    <w:p>
      <w:r>
        <w:rPr>
          <w:b w:val="0"/>
          <w:i/>
          <w:sz w:val="22"/>
        </w:rPr>
        <w:t>This finding strengthens the methodological contribution: the optimal detrend method is region-specific and depends on the structural shape of production history. There is no universally better detrend method — both serve as Decision 1 baselines against which Decision 2 (climate signal) must compete, and the right choice depends on the structural trajectory being modelled.</w:t>
      </w:r>
    </w:p>
    <w:p>
      <w:r>
        <w:rPr>
          <w:b w:val="0"/>
          <w:i w:val="0"/>
          <w:sz w:val="22"/>
        </w:rPr>
        <w:t>The LOESS RDD finding also explains why CarenR performs better in RDD under linear detrending: the linear trend is well-suited to the Douro's trajectory, leaving structured residuals that CarenR can exploit. Using LOESS would not help.</w:t>
      </w:r>
    </w:p>
    <w:p>
      <w:pPr>
        <w:pStyle w:val="Heading2"/>
      </w:pPr>
      <w:r>
        <w:rPr>
          <w:color w:val="1F497D"/>
        </w:rPr>
        <w:t>21.4 Statistical Tests — Wilcoxon and Binomial</w:t>
      </w:r>
    </w:p>
    <w:p>
      <w:r>
        <w:rPr>
          <w:b w:val="0"/>
          <w:i w:val="0"/>
          <w:sz w:val="22"/>
        </w:rPr>
        <w:t>Two statistical tests were run to validate the era-composition finding:</w:t>
      </w:r>
    </w:p>
    <w:p>
      <w:pPr>
        <w:pStyle w:val="Heading3"/>
      </w:pPr>
      <w:r>
        <w:rPr>
          <w:color w:val="1F497D"/>
        </w:rPr>
        <w:t>Test 1: Overall RDD (all 18 scenarios)</w:t>
      </w:r>
    </w:p>
    <w:p>
      <w:r>
        <w:rPr>
          <w:b w:val="0"/>
          <w:i w:val="0"/>
          <w:sz w:val="22"/>
        </w:rPr>
        <w:t>Wilcoxon signed-rank test: H0 = no difference between CarenR_Dist_Eta2 and Naive_Median MAE across 18 scenarios.</w:t>
      </w:r>
    </w:p>
    <w:p>
      <w:r>
        <w:rPr>
          <w:b/>
          <w:i w:val="0"/>
          <w:sz w:val="22"/>
        </w:rPr>
        <w:t>Result: W=68, p=0.468 — not significant at α=0.05.</w:t>
      </w:r>
    </w:p>
    <w:p>
      <w:r>
        <w:rPr>
          <w:b w:val="0"/>
          <w:i w:val="0"/>
          <w:sz w:val="22"/>
        </w:rPr>
        <w:t>Interpretation: in aggregate, CarenR is not significantly different from Naive_Median. This is expected and consistent with the weighted MAE (189 vs 184 mhl). The aggregate result does not support a claim that CarenR outperforms the baseline.</w:t>
      </w:r>
    </w:p>
    <w:p>
      <w:pPr>
        <w:pStyle w:val="Heading3"/>
      </w:pPr>
      <w:r>
        <w:rPr>
          <w:color w:val="1F497D"/>
        </w:rPr>
        <w:t>Test 2: Era-balanced scenarios 10-14 (n=5, post-1990 share ~29-32%)</w:t>
      </w:r>
    </w:p>
    <w:p>
      <w:r>
        <w:rPr>
          <w:b w:val="0"/>
          <w:i w:val="0"/>
          <w:sz w:val="22"/>
        </w:rPr>
        <w:t>Binomial sign test: H0 = each scenario is equally likely to be a CarenR win or loss (p=0.5). CarenR won all 5 consecutive scenarios.</w:t>
      </w:r>
    </w:p>
    <w:p>
      <w:r>
        <w:rPr>
          <w:b/>
          <w:i w:val="0"/>
          <w:sz w:val="22"/>
        </w:rPr>
        <w:t>Result: p=0.031 — significant at α=0.05.</w:t>
      </w:r>
    </w:p>
    <w:p>
      <w:pPr/>
      <w:r>
        <w:rPr>
          <w:b/>
          <w:color w:val="C00000"/>
          <w:sz w:val="20"/>
        </w:rPr>
        <w:t>POST-HOC CAVEAT — IMPORTANT FOR THESIS WRITING: The 5 scenarios (10-14) were identified as 'era-balanced' AFTER observing that CarenR won in them — not pre-specified before running the analysis. This means the p=0.031 result is exploratory, not confirmatory. In the thesis, this must be presented with appropriate language:</w:t>
        <w:br/>
        <w:t>CORRECT: 'A post-hoc analysis of era-balanced scenarios (10-14) found CarenR winning in all 5, which is unlikely by chance alone (p=0.031, binomial test), suggesting the era-composition effect is real.'</w:t>
        <w:br/>
        <w:t>INCORRECT: 'We confirmed that CarenR significantly outperforms the baseline in balanced-era scenarios (p=0.031).'</w:t>
        <w:br/>
        <w:t>The distinction: exploratory findings generate hypotheses for future pre-registered validation; they do not constitute confirmed claims. A reviewer who knows about multiple comparisons will catch this — be transparent about the post-hoc nature.</w:t>
      </w:r>
    </w:p>
    <w:p>
      <w:r>
        <w:rPr>
          <w:b w:val="0"/>
          <w:i w:val="0"/>
          <w:sz w:val="22"/>
        </w:rPr>
        <w:t>Interpretation: the probability of CarenR winning all 5 era-balanced scenarios by chance is 3.1%. This supports the conditional claim that, when training data reaches ~29% post-1990 representation, CarenR_Dist_Eta2 consistently beats Naive_Median in the Douro region.</w:t>
      </w:r>
    </w:p>
    <w:p>
      <w:pPr>
        <w:pStyle w:val="Heading3"/>
      </w:pPr>
      <w:r>
        <w:rPr>
          <w:color w:val="1F497D"/>
        </w:rPr>
        <w:t>Test 3: RVV non-fallback scenarios (n=9)</w:t>
      </w:r>
    </w:p>
    <w:p>
      <w:r>
        <w:rPr>
          <w:b w:val="0"/>
          <w:i w:val="0"/>
          <w:sz w:val="22"/>
        </w:rPr>
        <w:t>Wilcoxon signed-rank test on the 9 RVV scenarios where CarenR fires rules (excludes 7 fallback-to-median scenarios). H0 = no difference.</w:t>
      </w:r>
    </w:p>
    <w:p>
      <w:r>
        <w:rPr>
          <w:b/>
          <w:i w:val="0"/>
          <w:sz w:val="22"/>
        </w:rPr>
        <w:t>Result: W=0, p=0.004 — highly significant.</w:t>
      </w:r>
    </w:p>
    <w:p>
      <w:r>
        <w:rPr>
          <w:b w:val="0"/>
          <w:i w:val="0"/>
          <w:sz w:val="22"/>
        </w:rPr>
        <w:t>Interpretation: when CarenR does fire rules in RVV, those rules are significantly WORSE than the naive baseline (p=0.004). CarenR's rules for Vinho Verde are not just unhelpful — they are actively harmful. This is the strongest statistical evidence that the RVV climate signal is structurally different from RDD.</w:t>
      </w:r>
    </w:p>
    <w:p>
      <w:pPr>
        <w:pStyle w:val="Heading2"/>
      </w:pPr>
      <w:r>
        <w:rPr>
          <w:color w:val="1F497D"/>
        </w:rPr>
        <w:t>21.5 Updated Key Numbers for Thesis Writing</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pPr>
              <w:jc w:val="center"/>
            </w:pPr>
            <w:r>
              <w:rPr>
                <w:b/>
                <w:sz w:val="18"/>
              </w:rPr>
              <w:t>Finding</w:t>
            </w:r>
          </w:p>
        </w:tc>
        <w:tc>
          <w:tcPr>
            <w:tcW w:type="dxa" w:w="2256"/>
          </w:tcPr>
          <w:p>
            <w:pPr>
              <w:jc w:val="center"/>
            </w:pPr>
            <w:r>
              <w:rPr>
                <w:b/>
                <w:sz w:val="18"/>
              </w:rPr>
              <w:t>Value</w:t>
            </w:r>
          </w:p>
        </w:tc>
        <w:tc>
          <w:tcPr>
            <w:tcW w:type="dxa" w:w="2256"/>
          </w:tcPr>
          <w:p>
            <w:pPr>
              <w:jc w:val="center"/>
            </w:pPr>
            <w:r>
              <w:rPr>
                <w:b/>
                <w:sz w:val="18"/>
              </w:rPr>
              <w:t>Test</w:t>
            </w:r>
          </w:p>
        </w:tc>
        <w:tc>
          <w:tcPr>
            <w:tcW w:type="dxa" w:w="2256"/>
          </w:tcPr>
          <w:p>
            <w:pPr>
              <w:jc w:val="center"/>
            </w:pPr>
            <w:r>
              <w:rPr>
                <w:b/>
                <w:sz w:val="18"/>
              </w:rPr>
              <w:t>p-value</w:t>
            </w:r>
          </w:p>
        </w:tc>
      </w:tr>
      <w:tr>
        <w:tc>
          <w:tcPr>
            <w:tcW w:type="dxa" w:w="2256"/>
          </w:tcPr>
          <w:p>
            <w:pPr>
              <w:jc w:val="left"/>
            </w:pPr>
            <w:r>
              <w:rPr>
                <w:sz w:val="18"/>
              </w:rPr>
              <w:t>CarenR_Dist_Eta2 vs Naive_Median (RDD, all 18 scen.)</w:t>
            </w:r>
          </w:p>
        </w:tc>
        <w:tc>
          <w:tcPr>
            <w:tcW w:type="dxa" w:w="2256"/>
          </w:tcPr>
          <w:p>
            <w:pPr>
              <w:jc w:val="center"/>
            </w:pPr>
            <w:r>
              <w:rPr>
                <w:sz w:val="18"/>
              </w:rPr>
              <w:t>no difference</w:t>
            </w:r>
          </w:p>
        </w:tc>
        <w:tc>
          <w:tcPr>
            <w:tcW w:type="dxa" w:w="2256"/>
          </w:tcPr>
          <w:p>
            <w:pPr>
              <w:jc w:val="center"/>
            </w:pPr>
            <w:r>
              <w:rPr>
                <w:sz w:val="18"/>
              </w:rPr>
              <w:t>Wilcoxon 2-sided</w:t>
            </w:r>
          </w:p>
        </w:tc>
        <w:tc>
          <w:tcPr>
            <w:tcW w:type="dxa" w:w="2256"/>
          </w:tcPr>
          <w:p>
            <w:pPr>
              <w:jc w:val="center"/>
            </w:pPr>
            <w:r>
              <w:rPr>
                <w:sz w:val="18"/>
              </w:rPr>
              <w:t>0.468</w:t>
            </w:r>
          </w:p>
        </w:tc>
      </w:tr>
      <w:tr>
        <w:tc>
          <w:tcPr>
            <w:tcW w:type="dxa" w:w="2256"/>
          </w:tcPr>
          <w:p>
            <w:pPr>
              <w:jc w:val="left"/>
            </w:pPr>
            <w:r>
              <w:rPr>
                <w:sz w:val="18"/>
              </w:rPr>
              <w:t>CarenR wins 5/5 era-balanced RDD scenarios</w:t>
            </w:r>
          </w:p>
        </w:tc>
        <w:tc>
          <w:tcPr>
            <w:tcW w:type="dxa" w:w="2256"/>
          </w:tcPr>
          <w:p>
            <w:pPr>
              <w:jc w:val="center"/>
            </w:pPr>
            <w:r>
              <w:rPr>
                <w:sz w:val="18"/>
              </w:rPr>
              <w:t>p&lt;0.05</w:t>
            </w:r>
          </w:p>
        </w:tc>
        <w:tc>
          <w:tcPr>
            <w:tcW w:type="dxa" w:w="2256"/>
          </w:tcPr>
          <w:p>
            <w:pPr>
              <w:jc w:val="center"/>
            </w:pPr>
            <w:r>
              <w:rPr>
                <w:sz w:val="18"/>
              </w:rPr>
              <w:t>Binomial sign test</w:t>
            </w:r>
          </w:p>
        </w:tc>
        <w:tc>
          <w:tcPr>
            <w:tcW w:type="dxa" w:w="2256"/>
          </w:tcPr>
          <w:p>
            <w:pPr>
              <w:jc w:val="center"/>
            </w:pPr>
            <w:r>
              <w:rPr>
                <w:sz w:val="18"/>
              </w:rPr>
              <w:t>0.031</w:t>
            </w:r>
          </w:p>
        </w:tc>
      </w:tr>
      <w:tr>
        <w:tc>
          <w:tcPr>
            <w:tcW w:type="dxa" w:w="2256"/>
          </w:tcPr>
          <w:p>
            <w:pPr>
              <w:jc w:val="left"/>
            </w:pPr>
            <w:r>
              <w:rPr>
                <w:sz w:val="18"/>
              </w:rPr>
              <w:t>CarenR rules hurt prediction in RVV (9 fire scen.)</w:t>
            </w:r>
          </w:p>
        </w:tc>
        <w:tc>
          <w:tcPr>
            <w:tcW w:type="dxa" w:w="2256"/>
          </w:tcPr>
          <w:p>
            <w:pPr>
              <w:jc w:val="center"/>
            </w:pPr>
            <w:r>
              <w:rPr>
                <w:sz w:val="18"/>
              </w:rPr>
              <w:t>significantly worse</w:t>
            </w:r>
          </w:p>
        </w:tc>
        <w:tc>
          <w:tcPr>
            <w:tcW w:type="dxa" w:w="2256"/>
          </w:tcPr>
          <w:p>
            <w:pPr>
              <w:jc w:val="center"/>
            </w:pPr>
            <w:r>
              <w:rPr>
                <w:sz w:val="18"/>
              </w:rPr>
              <w:t>Wilcoxon 2-sided</w:t>
            </w:r>
          </w:p>
        </w:tc>
        <w:tc>
          <w:tcPr>
            <w:tcW w:type="dxa" w:w="2256"/>
          </w:tcPr>
          <w:p>
            <w:pPr>
              <w:jc w:val="center"/>
            </w:pPr>
            <w:r>
              <w:rPr>
                <w:sz w:val="18"/>
              </w:rPr>
              <w:t>0.004</w:t>
            </w:r>
          </w:p>
        </w:tc>
      </w:tr>
      <w:tr>
        <w:tc>
          <w:tcPr>
            <w:tcW w:type="dxa" w:w="2256"/>
          </w:tcPr>
          <w:p>
            <w:pPr>
              <w:jc w:val="left"/>
            </w:pPr>
            <w:r>
              <w:rPr>
                <w:sz w:val="18"/>
              </w:rPr>
              <w:t>LOESS vs linear for RDD Naive_Median</w:t>
            </w:r>
          </w:p>
        </w:tc>
        <w:tc>
          <w:tcPr>
            <w:tcW w:type="dxa" w:w="2256"/>
          </w:tcPr>
          <w:p>
            <w:pPr>
              <w:jc w:val="center"/>
            </w:pPr>
            <w:r>
              <w:rPr>
                <w:sz w:val="18"/>
              </w:rPr>
              <w:t>LOESS 290 vs linear 184 mhl</w:t>
            </w:r>
          </w:p>
        </w:tc>
        <w:tc>
          <w:tcPr>
            <w:tcW w:type="dxa" w:w="2256"/>
          </w:tcPr>
          <w:p>
            <w:pPr>
              <w:jc w:val="center"/>
            </w:pPr>
            <w:r>
              <w:rPr>
                <w:sz w:val="18"/>
              </w:rPr>
              <w:t>Descriptive</w:t>
            </w:r>
          </w:p>
        </w:tc>
        <w:tc>
          <w:tcPr>
            <w:tcW w:type="dxa" w:w="2256"/>
          </w:tcPr>
          <w:p>
            <w:pPr>
              <w:jc w:val="center"/>
            </w:pPr>
            <w:r>
              <w:rPr>
                <w:sz w:val="18"/>
              </w:rPr>
              <w:t>n/a</w:t>
            </w:r>
          </w:p>
        </w:tc>
      </w:tr>
      <w:tr>
        <w:tc>
          <w:tcPr>
            <w:tcW w:type="dxa" w:w="2256"/>
          </w:tcPr>
          <w:p>
            <w:pPr>
              <w:jc w:val="left"/>
            </w:pPr>
            <w:r>
              <w:rPr>
                <w:sz w:val="18"/>
              </w:rPr>
              <w:t>LOESS vs linear for RVV Naive_Median</w:t>
            </w:r>
          </w:p>
        </w:tc>
        <w:tc>
          <w:tcPr>
            <w:tcW w:type="dxa" w:w="2256"/>
          </w:tcPr>
          <w:p>
            <w:pPr>
              <w:jc w:val="center"/>
            </w:pPr>
            <w:r>
              <w:rPr>
                <w:sz w:val="18"/>
              </w:rPr>
              <w:t>LOESS 90 vs linear 140 mhl</w:t>
            </w:r>
          </w:p>
        </w:tc>
        <w:tc>
          <w:tcPr>
            <w:tcW w:type="dxa" w:w="2256"/>
          </w:tcPr>
          <w:p>
            <w:pPr>
              <w:jc w:val="center"/>
            </w:pPr>
            <w:r>
              <w:rPr>
                <w:sz w:val="18"/>
              </w:rPr>
              <w:t>Descriptive</w:t>
            </w:r>
          </w:p>
        </w:tc>
        <w:tc>
          <w:tcPr>
            <w:tcW w:type="dxa" w:w="2256"/>
          </w:tcPr>
          <w:p>
            <w:pPr>
              <w:jc w:val="center"/>
            </w:pPr>
            <w:r>
              <w:rPr>
                <w:sz w:val="18"/>
              </w:rPr>
              <w:t>n/a</w:t>
            </w:r>
          </w:p>
        </w:tc>
      </w:tr>
    </w:tbl>
    <w:p>
      <w:r>
        <w:rPr>
          <w:b w:val="0"/>
          <w:i w:val="0"/>
          <w:sz w:val="22"/>
        </w:rPr>
      </w:r>
    </w:p>
    <w:p>
      <w:pPr>
        <w:pStyle w:val="Heading2"/>
      </w:pPr>
      <w:r>
        <w:rPr>
          <w:color w:val="1F497D"/>
        </w:rPr>
        <w:t>21.6 Corrected Numbers — Update to Section 20.4</w:t>
      </w:r>
    </w:p>
    <w:p>
      <w:r>
        <w:rPr>
          <w:b/>
          <w:i w:val="0"/>
          <w:sz w:val="22"/>
        </w:rPr>
        <w:t>These numbers supersede Section 20.4 where marked:</w:t>
      </w:r>
    </w:p>
    <w:p>
      <w:pPr>
        <w:pStyle w:val="ListBullet"/>
      </w:pPr>
      <w:r>
        <w:rPr>
          <w:b w:val="0"/>
          <w:sz w:val="22"/>
        </w:rPr>
        <w:t>LOESS RDD Naive_Median weighted MAE: 290 mhl (NOT 'not run' — now available)</w:t>
      </w:r>
    </w:p>
    <w:p>
      <w:pPr>
        <w:pStyle w:val="ListBullet"/>
      </w:pPr>
      <w:r>
        <w:rPr>
          <w:b w:val="0"/>
          <w:sz w:val="22"/>
        </w:rPr>
        <w:t>LOESS RVV Naive_Median weighted MAE: ~90 mhl ✓ (unchanged)</w:t>
      </w:r>
    </w:p>
    <w:p>
      <w:pPr>
        <w:pStyle w:val="ListBullet"/>
      </w:pPr>
      <w:r>
        <w:rPr>
          <w:b w:val="0"/>
          <w:sz w:val="22"/>
        </w:rPr>
        <w:t>M5Rules RDD: 2 rules, CV R²=0.004 (no leakage version)</w:t>
      </w:r>
    </w:p>
    <w:p>
      <w:pPr>
        <w:pStyle w:val="ListBullet"/>
      </w:pPr>
      <w:r>
        <w:rPr>
          <w:b w:val="0"/>
          <w:sz w:val="22"/>
        </w:rPr>
        <w:t>M5Rules RVV: 3 rules, CV R²=-0.07 (no leakage version)</w:t>
      </w:r>
    </w:p>
    <w:p>
      <w:pPr>
        <w:pStyle w:val="ListBullet"/>
      </w:pPr>
      <w:r>
        <w:rPr>
          <w:b w:val="0"/>
          <w:sz w:val="22"/>
        </w:rPr>
        <w:t>Statistical test: CarenR_Dist_Eta2 overall RDD p=0.468 (not significant)</w:t>
      </w:r>
    </w:p>
    <w:p>
      <w:pPr>
        <w:pStyle w:val="ListBullet"/>
      </w:pPr>
      <w:r>
        <w:rPr>
          <w:b w:val="0"/>
          <w:sz w:val="22"/>
        </w:rPr>
        <w:t>Statistical test: CarenR wins 5/5 era-balanced scenarios — p=0.031 (post-hoc binomial test; exploratory, not confirmatory)</w:t>
      </w:r>
    </w:p>
    <w:p>
      <w:pPr>
        <w:pStyle w:val="ListBullet"/>
      </w:pPr>
      <w:r>
        <w:rPr>
          <w:b w:val="0"/>
          <w:sz w:val="22"/>
        </w:rPr>
        <w:t>Statistical test: CarenR rules hurt RVV p=0.004 (highly significant)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