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Appendix C — Complete Feature Reference</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This appendix provides a complete reference for all 58 agroclimatic features used in the modelling datasets (dataPrep_cont_dataset_rdd.csv and dataPrep_cont_dataset_rvv.csv). Features are grouped by variable family. The naming convention is described in Section 3.2.1. For each feature, the full name, phenological anchor, year offset, window specification, unit, calculation type, and agronomic interpretation are provided.</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Key notation: y1 = current harvest year; y0 = previous growing season. Positions: c = centred (±n/2 days around stage DOY), b = n days before stage DOY, a = n days after stage DOY. All aggregations are computed over the specified window relative to the phenological DOY for each individual year, using the daily meteorological records from dataPrep_meteo_*.csv.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C.1 Temperature Features (13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tm_fl_y1_c15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Thermal conditions during the critical flowering window — governs pollen viability, fruit set, and inflorescence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thermal conditions — vine heat accumulation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temperature — governs initial berry cell division and early fruit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early spring thermal conditions — influences inflorescence primordia initiation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post-budburst window in previous year — vine carbohydrate allocation and early season vigour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tm_sm_y1_c20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Temperature at veraison onset — governs timing of berry colour change and ripening acceleration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post-veraison heat — vine thermal stress at end of prior season; affects reserve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pre-veraison temperature — mid-ripening thermal conditions in prior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Temperature at harvest — final ripening conditions; warmer harvest accelerates sugar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temperature — late-season thermal driver of final berry maturation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pre-flowering temperature — key driver of inflorescence primordia differentiation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temperature — affects fruit set and bunch architecture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tn_hv_y0_a30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post-harvest night temperatures — warm nights maintain vine metabolic activity; affect carbohydrate reserve building</w:t>
            </w:r>
          </w:p>
        </w:tc>
      </w:tr>
    </w:tbl>
    <w:p>
      <w:pPr>
        <w:spacing w:after="200" w:before="80"/>
        <w:jc w:val="center"/>
      </w:pPr>
      <w:r>
        <w:rPr>
          <w:rFonts w:ascii="Times New Roman" w:cs="Times New Roman" w:eastAsia="Times New Roman" w:hAnsi="Times New Roman"/>
          <w:i/>
          <w:iCs/>
          <w:sz w:val="20"/>
          <w:szCs w:val="20"/>
        </w:rPr>
        <w:t xml:space="preserve">Table C.1. Mean and minimum temperature features (13 total).</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C.2 Cold and Frost Day Features (5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tm.days.less.15_fl_y1_c15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Number of cold days during flowering — impairs pollen viability and fertilisation; directly reduces berry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tm.days.less.15_fl_y1_b15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cold days — cool conditions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days_minTemp.less.0_bb_y1_c20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at budburst — potential spring frost damage to emerging shoots; severe frosts can destroy entire crop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days.minTemp.less.0_bb_y1_a30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Post-budburst frost risk window — young shoots most vulnerable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Late frost at flowering — unusual but damaging frost events during fruit set</w:t>
            </w:r>
          </w:p>
        </w:tc>
      </w:tr>
    </w:tbl>
    <w:p>
      <w:pPr>
        <w:spacing w:after="200" w:before="80"/>
        <w:jc w:val="center"/>
      </w:pPr>
      <w:r>
        <w:rPr>
          <w:rFonts w:ascii="Times New Roman" w:cs="Times New Roman" w:eastAsia="Times New Roman" w:hAnsi="Times New Roman"/>
          <w:i/>
          <w:iCs/>
          <w:sz w:val="20"/>
          <w:szCs w:val="20"/>
        </w:rPr>
        <w:t xml:space="preserve">Table C.2. Cold day (Tmed &lt; 15°C) and frost day (Tmin &lt; 0°C)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C.3 Heat Stress Day Features (4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00"/>
        <w:gridCol w:w="1000"/>
        <w:gridCol w:w="500"/>
        <w:gridCol w:w="600"/>
        <w:gridCol w:w="33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Extreme heat at flowering — causes flower abortion, pollen tube failure, and reduces berry number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heat exposure — sustained heat impact on early berry development</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days.tempMax.above.35_sm_y1_b20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stress approaching veraison — accelerates sugar rise; can impair acid retention and berry integrity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Post-veraison heat stress — berry thermal stress during the key ripening phase</w:t>
            </w:r>
          </w:p>
        </w:tc>
      </w:tr>
    </w:tbl>
    <w:p>
      <w:pPr>
        <w:spacing w:after="200" w:before="80"/>
        <w:jc w:val="center"/>
      </w:pPr>
      <w:r>
        <w:rPr>
          <w:rFonts w:ascii="Times New Roman" w:cs="Times New Roman" w:eastAsia="Times New Roman" w:hAnsi="Times New Roman"/>
          <w:i/>
          <w:iCs/>
          <w:sz w:val="20"/>
          <w:szCs w:val="20"/>
        </w:rPr>
        <w:t xml:space="preserve">Table C.3. Heat stress day features (Tmax &gt; 35°C).</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C.4 Rainfall Features (8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00"/>
        <w:gridCol w:w="1000"/>
        <w:gridCol w:w="500"/>
        <w:gridCol w:w="600"/>
        <w:gridCol w:w="35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immediately post-flowering — disease risk (Botrytis, downy mildew); excess rain dilutes berry development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rainfall — late rain can cause berry splitting, dilution of sugars, and Botrytis infection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rainfall in previous year — begins recharging soil water reserves for the following season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days.rf.above.1mm_fl_y1_c15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Frequency of rain days at flowering — high frequency promotes disease and physically interferes with pollination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rain event count — key disease pressure indicator in the Douro; DRY = above 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 days approaching veraison — moisture during mid-season ripening phase</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Post-veraison rain days — disease and dilution risk during the ripening phase; 2nd most frequent RDD rule feature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 days at harvest — wet harvest conditions cause berry splitting, Botrytis; reduce quality and quantity</w:t>
            </w:r>
          </w:p>
        </w:tc>
      </w:tr>
    </w:tbl>
    <w:p>
      <w:pPr>
        <w:spacing w:after="200" w:before="80"/>
        <w:jc w:val="center"/>
      </w:pPr>
      <w:r>
        <w:rPr>
          <w:rFonts w:ascii="Times New Roman" w:cs="Times New Roman" w:eastAsia="Times New Roman" w:hAnsi="Times New Roman"/>
          <w:i/>
          <w:iCs/>
          <w:sz w:val="20"/>
          <w:szCs w:val="20"/>
        </w:rPr>
        <w:t xml:space="preserve">Table C.4. Rainfall total and wet day count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C.5 Leaf Area Index (LAI) Features (10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rain events in previous year — soil recharge initiation; carry-over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iaf_bb_y1_c10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budburst — canopy size at growth initiation; proxy for vine vigour entering the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canopy development — vegetative vigour entering the critical fruit-set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Broader pre-flowering LAI window — canopy development trajectory before 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Early pre-flowering canopy — wider window capturing canopy build-up phase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canopy — rapid leaf area expansion immediately after flowering; vigour proxy</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harvest — canopy size at the time of picking; DOMINANT RVV feature (20/20 rules); high LAI → below trend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pre-flowering LAI — vine canopy state before prior-year fruit set; carry-over vigour signal</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previous-year pre-flowering LAI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Widest previous-year pre-flowering LAI window — M5Rules LAI differential uses b10/b20/b30 together</w:t>
            </w:r>
          </w:p>
        </w:tc>
      </w:tr>
    </w:tbl>
    <w:p>
      <w:pPr>
        <w:spacing w:after="200" w:before="80"/>
        <w:jc w:val="center"/>
      </w:pPr>
      <w:r>
        <w:rPr>
          <w:rFonts w:ascii="Times New Roman" w:cs="Times New Roman" w:eastAsia="Times New Roman" w:hAnsi="Times New Roman"/>
          <w:i/>
          <w:iCs/>
          <w:sz w:val="20"/>
          <w:szCs w:val="20"/>
        </w:rPr>
        <w:t xml:space="preserve">Table C.5. Leaf Area Index features. iaf_hv_y1_c10 is the dominant RVV feature (20/20 rules).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C.6 Soil Water Features (18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LAI in previous year — canopy expansion after prior-year fruit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balance post-flowering — moisture availability during early berry development; excess → vigour/disease in RVV</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swa_fl_y1_a30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post-flowering soil water window — cumulative moisture through mid-season; appears in RVV rules 3, 16, 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swa_hv_y1_b20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soil water — DOMINANT feature in both regions; RDD: moderate deficit → above trend; RVV: deficit → below trend</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soil water in previous year — soil recharge initiation; carry-over moisture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post-harvest soil water in previous year — confirms carry-over recharge pattern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Severe stress days post-flowering — days when soil water falls below vine wilting threshold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stress exposure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Severe stress days at veraison onset — critical window for sugar–acid balance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stress at maturity — prolonged wilting-level stress during ripening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severe stress — intense berry concentration but risk of vine damage if prolonged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severe stress — vine recovery period after harvest</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stress — carry-over water deficit from prior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previous-year post-flowering stress</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Near-saturation days post-flowering — promote disease and vegetative vigour; relevant to RVV below-trend rules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near-saturation post-flowering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soil saturation — carry-over vigour effect identified in RVV Rule 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window for previous-year post-flowering soil saturation — strongest RVV carry-over signal</w:t>
            </w:r>
          </w:p>
        </w:tc>
      </w:tr>
    </w:tbl>
    <w:p>
      <w:pPr>
        <w:spacing w:after="200" w:before="80"/>
        <w:jc w:val="center"/>
      </w:pPr>
      <w:r>
        <w:rPr>
          <w:rFonts w:ascii="Times New Roman" w:cs="Times New Roman" w:eastAsia="Times New Roman" w:hAnsi="Times New Roman"/>
          <w:i/>
          <w:iCs/>
          <w:sz w:val="20"/>
          <w:szCs w:val="20"/>
        </w:rPr>
        <w:t xml:space="preserve">Table C.6. Soil water availability, stress day (Sm &lt; 1.5×Wp), and saturation day (Sm &gt; 0.9×Fc) features. swa_hv_y1_b20 is the dominant feature in both regions.</w:t>
      </w:r>
    </w:p>
    <w:p>
      <w:pPr>
        <w:spacing w:after="60" w:before="60"/>
      </w:pPr>
      <w:r>
        <w:t xml:space="preserve"/>
      </w:r>
    </w:p>
    <w:sectPr>
      <w:footerReference w:type="default" r:id="rId7"/>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2026-06-05T08:51:39.945Z</dcterms:created>
  <dcterms:modified xsi:type="dcterms:W3CDTF">2026-06-05T08:51:39.945Z</dcterms:modified>
</cp:coreProperties>
</file>

<file path=docProps/custom.xml><?xml version="1.0" encoding="utf-8"?>
<Properties xmlns="http://schemas.openxmlformats.org/officeDocument/2006/custom-properties" xmlns:vt="http://schemas.openxmlformats.org/officeDocument/2006/docPropsVTypes"/>
</file>