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Figures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This section contains the key figures referenced in the results chapters. All figures were generated by the automated R pipeline (plot_model_comparison.R) from the walk-forward evaluation results.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1 — Vinho Verde Production Time Series with Prediction Error Bands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1 illustrates the full RVV production time series (1942–2021) alongside the MAE error bands for the best-performing models. The dashed horizontal line is the global mean (1,621 mhl). The shaded band centred on the mean represents the ±140 mhl error band of the Naive_Median baseline; the wider band shows the ±172 mhl error of the best CarenR variant. The figure contextualises what the MAE numbers mean in practice: even the best model has an error band that spans a substantial fraction of the series range. The structural decline from the 1960s peak (~3,000 mhl) to the modern era (~800 mhl) is clearly visible, illustrating the non-stationarity that motivates the detrending step described in Section 3.3.</w:t>
      </w:r>
    </w:p>
    <w:p>
      <w:pPr>
        <w:spacing w:after="60" w:before="60"/>
      </w:pPr>
      <w:r>
        <w:t xml:space="preserve"/>
      </w:r>
    </w:p>
    <w:p>
      <w:pPr>
        <w:spacing w:after="80" w:before="200"/>
        <w:jc w:val="center"/>
      </w:pPr>
      <w:r>
        <w:drawing>
          <wp:inline distT="0" distB="0" distL="0" distR="0">
            <wp:extent cx="4762500" cy="1981200"/>
            <wp:effectExtent t="0" r="0" b="0" l="0"/>
            <wp:docPr id="1" name="plot_context_timeseries.png" descr="plot_context_timeseries.png" title="plot_contex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RVV annual wine production (1942–2021). Dashed line = global mean (1,621 mhl). Shaded bands = ±MAE for Naive_Median (dark, ±140 mhl) and best CarenR variant (light, ±172 mhl). The structural decline post-1980 reflects EU accession and industry restructuring, not climate variation.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2 — Weighted MAE: All 17 Models,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2 shows the complete 17-model ranking for the Vinho Verde region, sorted by weighted MAE. The dashed vertical blue line marks the Naive_Median baseline (140 mhl). All CarenR variants (green bars) exceed this baseline, as do all other ML models. The figure visually confirms that no rule-based model consistently beats the naive baseline in RVV, and shows the substantial gap between CarenR variants (172–275 mhl) and the most poorly-performing models (RIPPER 508 mhl, Decision Tree 479 mhl). The best CarenR variant (Sup+Thresh, marked with ★) ties with CarenR_Conf at 172 mhl — the closest any ML model comes to the baseline.</w:t>
      </w:r>
    </w:p>
    <w:p>
      <w:pPr>
        <w:spacing w:after="60" w:before="60"/>
      </w:pPr>
      <w:r>
        <w:t xml:space="preserve"/>
      </w:r>
    </w:p>
    <w:p>
      <w:pPr>
        <w:spacing w:after="80" w:before="200"/>
        <w:jc w:val="center"/>
      </w:pPr>
      <w:r>
        <w:drawing>
          <wp:inline distT="0" distB="0" distL="0" distR="0">
            <wp:extent cx="4762500" cy="2857500"/>
            <wp:effectExtent t="0" r="0" b="0" l="0"/>
            <wp:docPr id="1" name="plot_comparison_weighted_mae.png" descr="plot_comparison_weighted_mae.png" title="plot_comparison_weighted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Weighted MAE for all 17 models in Vinho Verde (16 walk-forward scenarios). Blue = naive baselines; green = CarenR variants; grey = other ML models. Dashed line = Naive_Median reference (140 mhl). Lower is better.</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3 — Per-Scenario MAE Trajectory,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 shows the per-scenario MAE for key models across all 16 RVV scenarios. The Naive_Median (solid dark blue) provides a varying baseline — its per-scenario MAE reflects the inherent year-to-year production variability of each test year. The best CarenR variant (CarenR Sup+Thresh, dark green solid line) tracks close to the Naive_Median in early scenarios (1–3) then diverges progressively in scenarios 4–11, reaching a gap of ~82 mhl in Scenario 11. In the final scenarios (12–16) the gap closes because CarenR falls back to the median (no rules fire). Decision Tree (dotted grey) and M5Rules (dotted dark) are consistently and substantially above all other models. This figure directly illustrates the harmful-rules degradation pattern described in Section 5.3.</w:t>
      </w:r>
    </w:p>
    <w:p>
      <w:pPr>
        <w:spacing w:after="60" w:before="60"/>
      </w:pPr>
      <w:r>
        <w:t xml:space="preserve"/>
      </w:r>
    </w:p>
    <w:p>
      <w:pPr>
        <w:spacing w:after="80" w:before="200"/>
        <w:jc w:val="center"/>
      </w:pPr>
      <w:r>
        <w:drawing>
          <wp:inline distT="0" distB="0" distL="0" distR="0">
            <wp:extent cx="4762500" cy="2381250"/>
            <wp:effectExtent t="0" r="0" b="0" l="0"/>
            <wp:docPr id="1" name="plot_comparison_per_scenario.png" descr="plot_comparison_per_scenario.png" title="plot_comparison_per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Per-scenario MAE for key models across 16 RVV walk-forward scenarios. Scenarios are ordered chronologically; earlier scenarios have larger test sets. CarenR Sup+Thresh (dark green) tracks the baseline in early/late scenarios but diverges in scenarios 4–11 when harmful rules fire.</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4 — Linear vs LOESS Detrending: Weighted MAE Comparison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4 compares the weighted MAE for all 17 models under linear detrending (blue bars) versus LOESS detrending (green bars) for the Vinho Verde region. The two vertical dashed lines show the respective Naive_Median baselines: green (LOESS, ~90 mhl) and blue (linear, ~140 mhl). For every model, LOESS detrending produces a lower absolute MAE — the green bars are consistently shorter than the blue bars. This reflects the better trend fit of LOESS for RVV (Decision 1 improvement). However, CarenR_Lag under LOESS (green bar, short) is notable: even with a lower baseline, CarenR falls to or below the baseline with LOESS because rules are suppressed. The figure visually demonstrates the Decision 1 / Decision 2 trade-off: LOESS moves the goalposts (lower floor) but prevents CarenR from scoring at all.</w:t>
      </w:r>
    </w:p>
    <w:p>
      <w:pPr>
        <w:spacing w:after="60" w:before="60"/>
      </w:pPr>
      <w:r>
        <w:t xml:space="preserve"/>
      </w:r>
    </w:p>
    <w:p>
      <w:pPr>
        <w:spacing w:after="80" w:before="200"/>
        <w:jc w:val="center"/>
      </w:pPr>
      <w:r>
        <w:drawing>
          <wp:inline distT="0" distB="0" distL="0" distR="0">
            <wp:extent cx="4762500" cy="3028950"/>
            <wp:effectExtent t="0" r="0" b="0" l="0"/>
            <wp:docPr id="1" name="plot_detrend_comparison.png" descr="plot_detrend_comparison.png" title="plot_detre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Weighted MAE under linear (blue) vs LOESS (green) detrending for all 17 models, Vinho Verde. Dashed lines = Naive_Median baseline for each detrend method (linear: 140 mhl, LOESS: ~90 mhl). LOESS improves Decision 1 (lower floor) but suppresses CarenR rule induction, illustrating the fundamental trade-off between trend quality and residual signal availability.</w:t>
      </w:r>
    </w:p>
    <w:p>
      <w:pPr>
        <w:spacing w:after="60" w:before="6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70c2ec4adbc048c2ddd92f2af28072b364a75f.png"/><Relationship Id="rId9" Type="http://schemas.openxmlformats.org/officeDocument/2006/relationships/image" Target="media/c26bcd7e58db7c00078a4a452d557f7a72a1f463.png"/><Relationship Id="rId10" Type="http://schemas.openxmlformats.org/officeDocument/2006/relationships/image" Target="media/1fb23e22f70081e88fcc3ddd895124ab3168e1db.png"/><Relationship Id="rId11" Type="http://schemas.openxmlformats.org/officeDocument/2006/relationships/image" Target="media/62a5c54c3dd1cacd8e83d44b65242ecf1d08602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2026-06-05T09:20:51.898Z</dcterms:created>
  <dcterms:modified xsi:type="dcterms:W3CDTF">2026-06-05T09:20:51.898Z</dcterms:modified>
</cp:coreProperties>
</file>

<file path=docProps/custom.xml><?xml version="1.0" encoding="utf-8"?>
<Properties xmlns="http://schemas.openxmlformats.org/officeDocument/2006/custom-properties" xmlns:vt="http://schemas.openxmlformats.org/officeDocument/2006/docPropsVTypes"/>
</file>