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PORTO UNIVERSITY</w:t>
      </w:r>
    </w:p>
    <w:p>
      <w:pPr>
        <w:jc w:val="center"/>
      </w:pPr>
      <w:r>
        <w:rPr>
          <w:sz w:val="24"/>
        </w:rPr>
        <w:t>Faculty of Engineering of the University of Porto</w:t>
      </w:r>
    </w:p>
    <w:p/>
    <w:p/>
    <w:p/>
    <w:p/>
    <w:p>
      <w:pPr>
        <w:jc w:val="center"/>
      </w:pPr>
      <w:r>
        <w:rPr>
          <w:b/>
          <w:sz w:val="36"/>
        </w:rPr>
        <w:t>Sub-Group Discovery and Meaningful Distribution Rules</w:t>
        <w:br/>
        <w:t>in Time Series for Wine Production Forecasting</w:t>
      </w:r>
    </w:p>
    <w:p/>
    <w:p>
      <w:pPr>
        <w:jc w:val="center"/>
      </w:pPr>
      <w:r>
        <w:rPr>
          <w:i/>
          <w:sz w:val="26"/>
        </w:rPr>
        <w:t>MSc Thesis in Data Science and Engineering</w:t>
      </w:r>
    </w:p>
    <w:p/>
    <w:p/>
    <w:p/>
    <w:p/>
    <w:p/>
    <w:p>
      <w:pPr>
        <w:jc w:val="center"/>
      </w:pPr>
      <w:r>
        <w:rPr>
          <w:b/>
          <w:sz w:val="26"/>
        </w:rPr>
        <w:t>Hugo Nogueira</w:t>
      </w:r>
    </w:p>
    <w:p>
      <w:pPr>
        <w:jc w:val="center"/>
      </w:pPr>
      <w:r>
        <w:rPr>
          <w:sz w:val="24"/>
        </w:rPr>
        <w:t>up202103617</w:t>
      </w:r>
    </w:p>
    <w:p/>
    <w:p/>
    <w:p/>
    <w:p>
      <w:pPr>
        <w:jc w:val="center"/>
      </w:pPr>
      <w:r>
        <w:rPr>
          <w:sz w:val="24"/>
        </w:rPr>
        <w:t>Supervised by:</w:t>
      </w:r>
    </w:p>
    <w:p>
      <w:pPr>
        <w:jc w:val="center"/>
      </w:pPr>
      <w:r>
        <w:rPr>
          <w:sz w:val="24"/>
        </w:rPr>
        <w:t>Prof. João Pedro Mendes Moreira (FEUP)</w:t>
      </w:r>
    </w:p>
    <w:p>
      <w:pPr>
        <w:jc w:val="center"/>
      </w:pPr>
      <w:r>
        <w:rPr>
          <w:sz w:val="24"/>
        </w:rPr>
        <w:t>Prof. Mário Campos Cunha (FCUP)</w:t>
      </w:r>
    </w:p>
    <w:p/>
    <w:p/>
    <w:p/>
    <w:p>
      <w:pPr>
        <w:jc w:val="center"/>
      </w:pPr>
      <w:r>
        <w:rPr>
          <w:sz w:val="24"/>
        </w:rPr>
        <w:t>June 2026</w:t>
      </w:r>
    </w:p>
    <w:p>
      <w:pPr>
        <w:pageBreakBefore w:val="1"/>
      </w:pPr>
    </w:p>
    <w:p>
      <w:pPr>
        <w:pStyle w:val="Heading1"/>
        <w:spacing w:after="240" w:before="360"/>
      </w:pPr>
      <w:r>
        <w:rPr>
          <w:rFonts w:ascii="Times New Roman" w:cs="Times New Roman" w:eastAsia="Times New Roman" w:hAnsi="Times New Roman"/>
          <w:b/>
          <w:bCs/>
          <w:sz w:val="28"/>
          <w:szCs w:val="28"/>
        </w:rPr>
        <w:t xml:space="preserve">Abstract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evaluates the CarenR distributional subgroup discovery framework as a rule-based machine learning approach for two complementary tasks on real-world agricultural time series: interpretable pattern extraction (Goal 1) and walk-forward prediction (Goal 2). The application domain is annual wine production forecasting for two contrasting Portuguese wine regions — the Douro Demarcated Region (RDD, 89 years, 1934–2022) and the Vinho Verde Region (RVV, 80 years, 1942–2021). The two regions serve as a natural comparative experiment — same pipeline, same algorithms, different structural histories and climate regimes — to evaluate when and why the method succeeds or fails under different signal conditions.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central methodological contribution is a two-decision decomposition framework that separates prediction error into trend quality (Decision 1: how well the training trend extrapolates to test years) and climate signal extraction (Decision 2: whether a rule-based model can predict detrended residuals better than the training median). The framework identifies which element of the pipeline is the bottleneck, a distinction aggregate metrics alone cannot reveal. The evaluation uses an expanding-window walk-forward protocol with 18 scenarios for RDD and 16 for RVV, with all preprocessing — detrending, feature discretisation, feature selection — performed within each training fold to prevent leakage. Seventeen CarenR variants are evaluated as a structured sensitivity analysis of feature selection strategies.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1 (rule extraction) is achieved. CarenR's KS-test-based subgroup induction discovers 48 statistically validated rules for the Douro and 20 for Vinho Verde. Feature frequency analysis shows that harvest-period soil water appears in 54% of Douro rules — the most consistently selected variable across all 48 rules — while LAI at harvest dominates the Vinho Verde rule set (present in all 20 rules). LOESS detrending validates that the selected features carry genuine within-era signal (correlations drop by ~8% after era-trend removal), confirming that CarenR extracts real structure rather than era-membership artefacts. A cross-algorithm comparison shows that RIPPER and M5Rules independently converge on the same variable families, validating the robustness of CarenR's feature selection across three different optimisation criteria.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2 (walk-forward prediction) is not achieved in aggregate. No rule-based model consistently outperforms the Naive_Median baseline across the full evaluation sequence. The best CarenR variant falls 3% behind the baseline in RDD (189 vs 184 mhl weighted MAE; Wilcoxon p = 0.468, not significant) and 22% behind in RVV (172 vs 140 mhl; rules actively harmful when they fire, p = 0.004). A post-hoc era-composition analysis — conducted after observing the results and therefore exploratory — suggests CarenR consistently outperforms the baseline in RDD when training data reaches ~29% post-1990 representation (5 of 5 consecutive scenarios, binomial p = 0.031), pointing to a conditional regime where rule-based prediction could succeed. The two-decision framework explains the failure: the demands of accurate trend modelling and sufficient residual signal for rule induction are in fundamental tension under a time-only detrending covariate.</w:t>
      </w:r>
    </w:p>
    <w:p>
      <w:pPr>
        <w:spacing w:after="80" w:before="80"/>
      </w:pPr>
      <w:r>
        <w:t xml:space="preserve"/>
      </w:r>
    </w:p>
    <w:p>
      <w:pPr>
        <w:spacing w:after="120" w:before="2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distributional subgroup discovery, CarenR, rule-based machine learning, walk-forward validation, time series evaluation, two-decision decomposition, feature selection, wine production forecasting, non-stationarity, era confound</w:t>
      </w:r>
    </w:p>
    <w:p>
      <w:pPr>
        <w:pageBreakBefore w:val="1"/>
      </w:pPr>
    </w:p>
    <w:p>
      <w:pPr>
        <w:pStyle w:val="Heading1"/>
        <w:spacing w:after="180" w:before="360"/>
      </w:pPr>
      <w:r>
        <w:rPr>
          <w:rFonts w:ascii="Times New Roman" w:cs="Times New Roman" w:eastAsia="Times New Roman" w:hAnsi="Times New Roman"/>
          <w:b/>
          <w:bCs/>
          <w:sz w:val="28"/>
          <w:szCs w:val="28"/>
        </w:rPr>
        <w:t xml:space="preserve">1. Introduction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1.1 Motivation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Wine production is among the most climate-sensitive agricultural activities in Europe. Annual yield at a regional scale is governed by a complex interaction of meteorological conditions during the growing season — temperature, rainfall, soil water balance, and frost events — superimposed on longer-term structural factors including vine age and density, viticultural practices, policy constraints, and market demand. For wine regions such as the Douro Valley and Vinho Verde in northern Portugal, which together produce some of Portugal's most commercially and culturally significant wines, understanding the relationship between climate and production has practical relevance for producers, cooperatives, and regulatory bodies managing annual harvest forecasts, storage planning, and risk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At the same time, the agroclimatic signal in annual production data is weak relative to year-to-year noise. Regional production aggregates absorb the decisions of thousands of individual producers, vineyard-level heterogeneity in soil type, altitude, and training system, and the effects of localised weather events that are invisible in regional climate indices. This high noise level has historically limited the predictive accuracy of statistical models applied to wine production forecasting, and motivates the use of interpretable machine learning methods that aim to extract the most robust and actionable climate patterns from the available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Modern machine learning has been applied extensively to grape yield and wine production prediction over the past decade. Random Forest, Support Vector Machines, gradient boosting, and deep learning architectures including Long Short-Term Memory networks have all been used to predict yield from meteorological, phenological, and remote sensing data (Santos et al.; Lopes et al., 2024). These methods achieve strong predictive accuracy and handle complex non-linear interactions across large feature sets. Their limitation is interpretability: the internal decision logic is not accessible to viticulturalists, cooperative managers, or climate adaptation planners, and post-hoc explanation tools such as SHAP values approximate feature influence rather than producing explicit, auditable rules. Where the goal is to explain which conditions drive production — not merely to forecast the next value — this opacity is a fundamental constraint. No published work applies interpretable rule-based discovery methods to extract compact, human-readable agroclimatic patterns from long regional wine production records.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Rule-based methods produce human-readable conditional statements: for example, “if soil water at harvest is below X mm and fewer than Y wet days occur after flowering, then production is above the long-run trend by Z thousand hectolitres.” These outputs can be read, questioned, and validated by agronomists, vine growers, and policy analysts without requiring knowledge of the underlying algorithm. Each rule also carries an explicit support estimate — the proportion of historical years in which the condition held — giving a direct measure of how frequently the identified pattern occurred.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1.2 Research Goals and Questions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pursues two complementary goals applied to historical wine production data from two Portuguese wine regions: the Douro Demarcated Region (RDD, 89 years, 1934–2022) and the Vinho Verde Region (RVV, 80 years, 1942–2021).</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1 — Explainability: </w:t>
      </w:r>
      <w:r>
        <w:rPr>
          <w:rFonts w:ascii="Times New Roman" w:cs="Times New Roman" w:eastAsia="Times New Roman" w:hAnsi="Times New Roman"/>
          <w:sz w:val="24"/>
          <w:szCs w:val="24"/>
        </w:rPr>
        <w:t xml:space="preserve">discover interpretable agroclimatic rules that explain which meteorological conditions are associated with above and below-trend production years in each region. The primary algorithm for this goal is CarenR (CAREN framework), which identifies subgroups of observations where the distribution of production residuals differs significantly from the global distribution, as measured by a Kolmogorov–Smirnov test.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Goal 2 — Prediction: </w:t>
      </w:r>
      <w:r>
        <w:rPr>
          <w:rFonts w:ascii="Times New Roman" w:cs="Times New Roman" w:eastAsia="Times New Roman" w:hAnsi="Times New Roman"/>
          <w:sz w:val="24"/>
          <w:szCs w:val="24"/>
        </w:rPr>
        <w:t xml:space="preserve">evaluate whether the discovered rules, and rule-based models more generally, can outperform a naive production forecast in rigorous walk-forward (expanding window) validation. This goal addresses whether the identified climate patterns have sufficient predictive power to improve on the simplest possible forecast — the historical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goals give rise to four specific research questions: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RQ1: Which agroclimatic variables most consistently distinguish above and below-trend production years in the Douro and Vinho Verde regions?</w:t>
      </w:r>
    </w:p>
    <w:p>
      <w:pPr>
        <w:spacing w:after="80" w:before="80" w:line="320"/>
        <w:ind w:left="720" w:hanging="360"/>
        <w:jc w:val="both"/>
      </w:pPr>
      <w:r>
        <w:rPr>
          <w:rFonts w:ascii="Times New Roman" w:cs="Times New Roman" w:eastAsia="Times New Roman" w:hAnsi="Times New Roman"/>
          <w:sz w:val="24"/>
          <w:szCs w:val="24"/>
        </w:rPr>
        <w:t xml:space="preserve">•  RQ2: Do the identified variables reflect genuine within-era climate effects, or are they confounded with the structural production era transitions observed in both regions?</w:t>
      </w:r>
    </w:p>
    <w:p>
      <w:pPr>
        <w:spacing w:after="80" w:before="80" w:line="320"/>
        <w:ind w:left="720" w:hanging="360"/>
        <w:jc w:val="both"/>
      </w:pPr>
      <w:r>
        <w:rPr>
          <w:rFonts w:ascii="Times New Roman" w:cs="Times New Roman" w:eastAsia="Times New Roman" w:hAnsi="Times New Roman"/>
          <w:sz w:val="24"/>
          <w:szCs w:val="24"/>
        </w:rPr>
        <w:t xml:space="preserve">•  RQ3: Does any rule-based model outperform the Naive_Median baseline in rigorous walk-forward validation?</w:t>
      </w:r>
    </w:p>
    <w:p>
      <w:pPr>
        <w:spacing w:after="80" w:before="80" w:line="320"/>
        <w:ind w:left="720" w:hanging="360"/>
        <w:jc w:val="both"/>
      </w:pPr>
      <w:r>
        <w:rPr>
          <w:rFonts w:ascii="Times New Roman" w:cs="Times New Roman" w:eastAsia="Times New Roman" w:hAnsi="Times New Roman"/>
          <w:sz w:val="24"/>
          <w:szCs w:val="24"/>
        </w:rPr>
        <w:t xml:space="preserve">•  RQ4: If rule-based prediction fails in aggregate, under what conditions — if any — does it succeed, and what structural properties of the data explain those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1.3 Scope and Delimitations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thesis focuses exclusively on annual regional production aggregates measured in thousands of hectolitres (mhl). Sub-regional, vineyard-level, or quality-related outcomes are outside the scope of the study. The feature set is derived from regional climate indices and a vine phenological model; field measurements of vine physiology are not available and not considered. The study does not address price forecasting, demand modelling, or the economics of wine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rule-learning algorithms evaluated are CarenR (distributional rules), RIPPER (classification rules), and M5Rules (piecewise linear model trees), together with naive baselines and a Decision Tree regressor as a non-rule comparator. Deep learning, ensemble, and Gaussian process methods are not evaluated; the thesis is specifically motivated by the interpretability requirement that makes rule-based methods preferable in this domain context.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1.4 Thesis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Chapter 2 covers the relevant background: wine production forecasting, agroclimatic modelling, and rule-based machine learning. Chapter 3 describes the data, feature engineering, detrending methodology, and walk-forward validation protocol, and introduces the two-decision decomposition framework used throughout the analysis. Chapter 4 reports the rule discovery results: algorithms compared, dominant agroclimatic features, and LOESS validation. Chapter 5 presents the walk-forward prediction results for both regions, including era-composition analysis and statistical tests. Chapter 6 discusses why rule discovery succeeds while aggregate prediction does not, examines the structural divergence between the two regions, and outlines directions for improvement. Chapter 7 presents conclusions, contributions, limitations, and future work.</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2. Literature Review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reviews the foundations of the thesis across three domains: the agroclimatic drivers of wine production in Portuguese wine regions; quantitative approaches to yield prediction, from classical regression to modern machine learning; and the data mining methods — subgroup discovery and distribution rules — that underpin the CarenR framework used in this study. The chapter closes by situating this thesis relative to existing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2.1 Regional Wine Production in Portugal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Portugal is home to several wine regions with distinct climatic identities. This thesis focuses on two: the Douro Demarcated Region (RDD) and the Vinho Verde Region (RVV). Together they represented approximately 32% of Portugal's total vineyard area and 37% of national wine production in 2018 (Cunha and Richter, 2020). Despite their geographical proximity in northern Portugal, the two regions have markedly different climates and production histories, making them a natural comparative setting for agroclimatic modelling.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2.1.1 Douro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 wine region is located in north-eastern Portugal, one of the oldest demarcated wine regions in the world. Its topography is dominated by steep schist terraces on the hillsides of the Douro valley. The climate is continental and semi-arid: mean growing-season temperatures reach approximately 19.5°C (Köppen Csa), annual precipitation ranges from 400 to 800 mm concentrated outside the growing season, and most vineyards are non-irrigated. Soil water reserves accumulated during the dormant winter period are the primary buffer against summer water stress. Cunha and Richter (2016) demonstrated that soil water in the previous two to three years exerts a positive carryover effect on current-year production, reflecting the slow recharge of deep schist soil profiles. Douro production has increased substantially over the study period, roughly doubling from ~770 mhl in the 1930s to ~1,400 mhl by the 2010s, partly reflecting the expansion of the Douro DOC appellation for table wines from 1979 onward and the administrative Port production quota system (IVDP benefício).</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2.1.2 Vinho Verde Region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Vinho Verde Region is located in the Minho province of north-western Portugal, the most Atlantic European wine region (Köppen Csb). Mean annual precipitation ranges from 1,200 to 2,000 mm and growing-season temperatures average approximately 17.1°C. In contrast to the Douro, Vinho Verde production has declined dramatically — from approximately 2,300 mhl in the 1960s to around 800 mhl today (−65%). This structural collapse is primarily attributed to EU accession in 1986 (grubbing-up subsidies, quality standards penalising high-yield bulk production), rural exodus, and the conversion from high-yield pergola to lower-yield espalier training systems. Because rainfall is generally sufficient to refill soil water reserves year-round in RVV, carryover effects of water deficits are less prominent than in the Douro (Cunha and Richter, 2020).</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2.2 Grapevine Yield 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Grapevine yield is the product of five sequential components: vines per hectare, shoots per vine, inflorescences per shoot, berry number per bunch, and berry mass (Zhu et al., 2020). Each component is sensitive to different environmental stimuli at different phenological stages, creating a cascade of climate dependencies that spans two growing seasons. Inflorescence primordia — the embryonic structures that will become grape clusters — are initiated during the spring and summer of the year prior to the harvest year. Whether primordia develop into productive inflorescences or revert to tendrils is governed primarily by temperature and light at the time of differentiation (Zhu et al., 2020): high temperatures encourage inflorescence development, while cool or shaded conditions lead to tendril formation, reducing the following season's potential bunch number. This mechanism means that current-year production is physiologically dependent on prior-year climate — motivating the inclusion of lagged features in the agroclimatic models used in this thesis.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flowering stage, occurring in late spring of the harvest year, determines the number of berries through fruit-set efficiency. Both low and high temperatures disrupt pollination; wet conditions promote Botrytis cinerea and downy mildew, reducing fruit set. The veraison-to-harvest period is governed by temperature and soil water: in the Douro, post-veraison soil water stress typically promotes berry concentration; in Vinho Verde, the wetter Atlantic climate means that canopy management and moisture balance are the dominant ripening-phase constraints.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2.3 Meteorological Drivers of Wine Production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Douro, Cunha and Richter (2016) demonstrated that spring temperature explains approximately 60–65% of the long-term and short-term behaviour of production, with soil water as the second principal driver. Both current-year and lagged soil water values (up to three years prior) show significant positive correlations with production. Cunha and Richter (2020) further decomposed cyclical production properties using a time-frequency approach, identifying dominant production cycles of approximately 5.7 and 2.5 years linked to spring temperature and soil water oscillations. Climate change projections are of particular concern: Portugal is expected to experience the greatest growing-season temperature increase among major European wine regions (+1.3°C by 2049), with soil water becoming the primary limiting resource in the Douro. For Vinho Verde, the Atlantic climate provides more consistent growing-season moisture; the dominant vulnerability is cool, wet flowering conditions that promote disease and reduce fruit set. Zhu et al. (2020) showed that daily maximum temperature plays a critical role in inflorescence initiation, while both maximum and minimum temperature influence berry number and mass.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2.4 Quantitative Approaches to Wine Yield Prediction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2.4.1 Statistical and Regression Models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earliest quantitative yield prediction models relied on linear and generalised linear regression applied to seasonal climate aggregates. Santos et al. (2011) developed a multivariate linear regression model for Douro yield (1986–2008) using monthly mean temperatures and precipitation from March to June. Bock et al. (2013) analysed correlations between long-term yield records in Lower Franconia (1805–2010) and mean growing-season temperature. Cunha and Richter (2012) applied an autoregressive model and short-time Fourier transform to identify cyclical properties of production in Douro and Vinho Verde. These models are interpretable and grounded in agronomy but assume linear, stationary relationships and cannot capture threshold effects, interactions, or non-stationarity from structural production changes. A methodological review by Fraga et al. (2024) argued that statistical models for climate impacts in grape and wine research remain underused relative to their potential and should be combined with other approaches.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2.4.2 Machine Learning Approaches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past decade has seen rapid growth in the application of machine learning to grape yield and wine production prediction. Random Forest, Support Vector Machines, gradient boosting ensembles, and deep learning architectures have all been applied to predict yield from meteorological, phenological, and remote sensing data. Lopes et al. (2024) used Random Forest models to identify climatic drivers of wine production in Portugal's Côa region, demonstrating competitive predictive performance with feature importance rankings that align with agronomic expectations. Remote sensing approaches use satellite-derived indices (NDVI, EVI) as proxies for vine vigour at the parcel scale, enabling near-real-time sub-regional yield maps.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methods achieve strong predictive accuracy and handle non-linear interactions well, but they operate as black-box or grey-box models. Their internal decision logic is not accessible to domain experts, and post-hoc tools such as SHAP values approximate feature influence rather than producing explicit, auditable rules. As Molnar (2019) argues, the trade-off between accuracy and interpretability depends on the intended application. For problems where the aim is to explain which conditions drive production — not merely to forecast — this opacity is a fundamental constraint. No published work applies interpretable rule-based discovery methods to extract statistically validated, human-readable agroclimatic patterns from long regional wine production records.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2.5 Subgroup Discovery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Subgroup discovery (SGD) is a descriptive induction technique that identifies subsets of a dataset — defined by conjunctions of attribute-value conditions — within which the distribution of a target variable is statistically exceptional relative to the overall population (Herrera et al., 2011). Unlike classification, which aims to correctly assign every observation to a class, SGD aims to find the most interesting local patterns: subgroups that are both statistically significant and sufficiently large to be meaningful. The field was formalised by Wrobel (1997) and Klösgen (1996). Lavrac et al. (2004) extended CN2 to subgroup discovery (CN2-SD); Kavšek and Lavrac (2006) adapted the Apriori algorithm to SGD (APRIORI-SD).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significant recent development is Exceptional Model Mining (EMM), introduced by Duivesteijn et al. (2016) as a generalisation where the interestingness criterion is based on a model fitted to the subgroup rather than a simple distributional shift test. EMM identifies subgroups where the relationship between variables differs significantly from the global relationship. Lemmerich et al. (2022) introduced robust subgroup discovery with statistical reliability guarantees. Zimmermann and Atzmueller (2019) adapted SGD to temporal and sequential data, directly addressing the time-series structure of problems such as the one studied in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2.6 Distribution Rules and the CarenR Framework</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2.6.1 Distribution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Distribution rules (DR) were introduced by Jorge et al. (2006) for discovering and presenting conditional distributions of a numeric target variable with respect to a set of input variables. A distribution rule takes the form IF antecedent THEN distribution, where the antecedent is a conjunction of attribute intervals and the consequent is the empirical distribution of the target among matching observations. Unlike conventional association rules, distribution rules preserve the full distributional shape of the outcome. Statistical significance is assessed using the Kolmogorov–Smirnov (KS) test, which compares the empirical cumulative distribution of the target in the subgroup against the global distribution without assuming normality — well suited to small datasets where normality cannot be assumed.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2.6.2 The CarenR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(Contrast Association Rules for Extraordinary Nodes, implemented in R) is the primary algorithmic contribution of the line of work this thesis extends. It operationalises the distribution rule framework of Jorge et al. (2006) with several additions specifically designed for agroclimatic time series problems.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algorithmic pipeline has five steps. First, continuous input features are discretised into equal-frequency bins (quartiles by default) within each training fold, ensuring uniform bin occupancy and preventing leakage of test-set information. Second, a configurable feature selection step reduces the input space to the most informative features before rule search — this is the dimension where the 10 CarenR variants evaluated in this thesis differ from one another. Third, CarenR performs a beam search over conjunctions of feature-bin conditions, evaluating each candidate subgroup using a two-sample KS test against the global training distribution. Fourth, rules are filtered by significance (p ≤ 0.10) and minimum support (≥ 15% of training observations) to retain only patterns that are both statistically sound and broadly applicable. Fifth, at prediction time, matching rules' subgroup means are aggregated (support-weighted in some variants); if no rule fires, the model falls back to the training median.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differs from RIPPER and M5Rules in what it optimises: it asks whether the shape of the production distribution shifts significantly within a subgroup, rather than assigning class labels or minimising squared error. A feature that reliably shifts the distribution mean — even when the distribution remains wide and overlapping with the global one — will be detected by CarenR but not by classification or regression criteria. This is why LAI at harvest, the dominant feature in Vinho Verde CarenR rules, is not selected by RIPPER or M5Rules despite its agronomic relevance (Section 4.6.3).</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has been applied in agricultural settings in previous work by the research group at the University of Porto (Moreira et al.), primarily in the context of viticulture rule discovery. The present thesis represents its first systematic evaluation in a walk-forward predictive validation framework across two contrasting wine regions, with explicit statistical testing and era-composition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2.7 Positioning and Research Gap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2.1 situates this thesis within the broader landscape of literature reviewed in this chapter.</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1200"/>
        <w:gridCol w:w="1100"/>
        <w:gridCol w:w="2900"/>
      </w:tblGrid>
      <w:tr>
        <w:trPr>
          <w:tblHeader/>
        </w:trPr>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Research stream</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Primary goal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Interpretable?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Continuous target?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Long time series?</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Representative references</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regression models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Cunha &amp; Richter 2016/2020; Santos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Modern ML (RF, LSTM, SVM)</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Limited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Lopes et al. 2024; Santos et al.</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Explainable AI / SHAP</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Post-hoc explanation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Molnar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Subgroup discovery (classical)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Lavrac et al. 2004; Herrera et al. 2011</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Exceptional model mining</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Pattern discovery</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Partial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Duivesteijn et al. 2016; Zimmermann 2019</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 rules (CarenR)</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Discovery + prediction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Jorge et al. 2006 — THIS THESIS</w:t>
            </w:r>
          </w:p>
        </w:tc>
      </w:tr>
    </w:tbl>
    <w:p>
      <w:pPr>
        <w:spacing w:after="200" w:before="80"/>
        <w:jc w:val="center"/>
      </w:pPr>
      <w:r>
        <w:rPr>
          <w:rFonts w:ascii="Times New Roman" w:cs="Times New Roman" w:eastAsia="Times New Roman" w:hAnsi="Times New Roman"/>
          <w:i/>
          <w:iCs/>
          <w:sz w:val="20"/>
          <w:szCs w:val="20"/>
        </w:rPr>
        <w:t xml:space="preserve">Table 2.1. Literature map positioning this thesis relative to existing research streams.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 existing stream combines all five properties simultaneously. This thesis applies CarenR to two Portuguese wine regions spanning 80–89 years, contributing (1) the first systematic walk-forward evaluation of distributional subgroup discovery for wine production forecasting with phenology-informed feature engineering, (2) a two-decision decomposition framework that diagnoses when and why rule-based prediction succeeds or fails, and (3) a cross-regional comparison that reveals how structural production history interacts with climate signal availability.</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2. Literature Review (Additions: Sections 2.8 and 2.9)</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two new sections for Chapter 2: Section 2.8 on Portuguese viticulture industry structure and policy, and Section 2.9 on time series properties and their implications for model evaluation. Both sections fill gaps identified in the existing literature review.</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2.8 Portuguese Viticulture Industry Structure and Policy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structural production trends observed in the two study regions — a persistent increase in the Douro and a sharp decline in Vinho Verde — cannot be attributed to climate alone. Both trajectories were substantially shaped by regulatory, economic, and demographic forces that are independent of meteorological conditions. Understanding these structural drivers is essential for interpreting the era confound identified throughout this thesis and for correctly attributing the limitations of the predictive models.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2.8.1 Douro Region — Regulatory and Market Drivers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 wine region has been formally demarcated since 1756, making it one of the first wine appellations in the world. The most significant modern regulatory influence on production is the Port wine benefício system, administered by the Instituto dos Vinhos do Douro e do Porto (IVDP). The benefício is an annual administrative quota that determines how much of the Douro's grape harvest may be used to produce Port wine, which commands a premium price over unfortified Douro wines. The quota is set annually by the IVDP based on market conditions, stock levels, and quality assessments, and has varied substantially across decades. Because Port production represents a significant fraction of total Douro output, the benefício quota partially decouples observed production from pure climate effects: in years where Port quota is restricted, total production is administratively capped regardless of how favourable the climate was. This administrative component is not captured by any of the meteorological features in the dataset and represents an unobserved structural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second major structural driver of RDD production growth was the creation of the Douro DOC (Denominação de Origem Controlada) for unfortified table wines in 1979. Before this designation, Douro grapes were used almost exclusively for Port wine. The Douro DOC enabled Port wine houses and independent producers to bottle and market premium dry red and white table wines from the region, opening new market channels. From the 1980s onward, Douro table wine production grew rapidly alongside Port, contributing to the gradual increase in total regional production documented in Appendix B. This structural expansion is largely responsible for the upward trend in the RDD production series and is the primary reason the RDD time series is less confounded by non-climate structural changes than the RVV series.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2.8.2 Vinho Verde Region — EU Policy and Structural Transformation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Vinho Verde region's dramatic production decline from the 1960s to the present is one of the most striking structural transformations in Portuguese viticulture. Three interacting factors explain the collapse from approximately 2,300 mhl in the 1960s to around 800 mhl today.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Portugal's accession to the European Economic Community (now European Union) in January 1986 triggered a sequence of structural adjustments that profoundly reshaped the RVV. The Common Agricultural Policy (CAP) introduced grubbing-up subsidies — payments to farmers who permanently removed vineyard plantings — as part of an effort to reduce wine surpluses across member states. The Vinho Verde region, dominated by small family-operated plots producing bulk wine for local and low-value export markets, was particularly exposed to these incentives. Thousands of small producers received grubbing-up payments and removed vineyards that were marginally profitable or required high labour input, accelerating a process of plot abandonment that had already begun with rural exodus in the 1960s and 1970s.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EU quality standards introduced post-accession also penalised the traditional high-yield pergola (ramada) training system used across the Minho. Pergola systems, which train vines on high horizontal trellises above ground level, maximise vegetative growth and can produce 15,000–20,000 kg/ha — far above the yield limits imposed by EU quality regulations for premium appellations. The incentive to qualify for premium designations drove a progressive conversion from pergola to lower-yield espalier (cordon) training systems, which produce 6,000–10,000 kg/ha. This training system transition reduced per-hectare yields structurally, independently of climate, and is estimated to have contributed substantially to the post-1986 production decline.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third factor was demographic: the Minho region had experienced significant rural exodus from the 1960s onward as workers migrated to urban centres and abroad. The generation that maintained the region's characteristic small, labour-intensive plots retired or emigrated, and their children often did not continue the viticultural tradition. Plot fragmentation — the Minho has historically had some of the highest incidences of micro-holding in Portugal, with individual parcels often below 0.1 hectares — made consolidation difficult and increased the per-unit cost of cultivation. Many marginal plots were simply abandoned, reducing the effective cultivated area and contributing to the production decline independently of the EU policy shock.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structural factors directly explain why the era confound is substantially stronger in RVV than in RDD: the production decline in Vinho Verde is predominantly driven by non-climate forces, creating a strong co-variation between era membership and climate variables that makes it difficult to disentangle genuine inter-annual climate effects from structural level changes. The models in this thesis acknowledge and partially address this confound through linear detrending and the LOESS sensitivity analysis, but fully removing it would require incorporating vineyard area, number of certified producers, and training system composition as explicit detrending covariates.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2.9 Time Series Properties and Evaluation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data is a time series with properties that have important implications for model evaluation. This section reviews the relevant concepts and motivates the methodological choices made in Chapter 3.</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2.9.1 Non-Stationarity and Structural Breaks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time series is stationary if its mean, variance, and autocovariance structure do not change over time. Both regional production series are non-stationary in the strict sense: the RDD series has a positive mean trend and the RVV series has a strongly negative trend. More subtly, both series exhibit structural breaks — abrupt changes in the level or trend that cannot be attributed to normal year-to-year variability. In the RVV series, the most prominent structural break occurs in the mid-1980s, coinciding with EU accession and the subsequent grubbing-up subsidies. In the RDD series, the structural break associated with the Douro DOC creation in 1979 is more gradual but identifiable in the decade-level averages (Appendix B, Table B.2).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Non-stationarity poses a direct challenge for machine learning models: a model trained on data from one period of a non-stationary series may not generalise to data from a different period. The standard practice in such settings is to remove the deterministic trend component before modelling, leaving stationary residuals that represent genuine inter-annual variation around the structural trajectory. This is precisely the role of the detrending step described in Section 3.3. The appropriateness of linear vs. flexible detrending depends on the shape of the structural trend — a question examined empirically through the LOESS sensitivity analysis in Section 5.5.</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2.9.2 Why Random Cross-Validation Is Invalid for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standard approach to model evaluation in machine learning — k-fold cross-validation with random assignment of observations to folds — is inappropriate for time series data. Random cross-validation implicitly assumes that observations are exchangeable: that a model trained on a random subset of years can validly predict another random subset. This assumption is violated in at least two ways for wine production time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temporal autocorrelation means that adjacent years are more similar to each other than randomly selected years. A model that is "tested" on a year immediately surrounded by training years will have access, through temporal proximity, to information that would not be available in a genuine forecasting application. This inflates apparent model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structural non-stationarity described above means that the statistical properties of the series change over time. A model trained on a random mixture of early-era and modern-era observations is effectively trained on a stationary average of two different regimes, which does not correspond to any real forecasting scenario. In practice, a forecaster always trains on the past and predicts the future — not on a random mixture of years across the full history.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Walk-forward (expanding window) cross-validation addresses both problems by strictly respecting the temporal ordering of observations: the model is always trained on all years up to time t and evaluated on year t+1 or later. This is the methodology adopted in Chapter 3 and represents the methodologically correct approach for time series model evaluation. The expanding rather than rolling (fixed-window) variant was chosen because the relevant climate patterns were expected to be relatively stable over the study period (each additional year of training data adds information without obsoleting the oldest observations), and because the expanding window avoids the instability of very short training windows in the early scenarios.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2.9.3 The Naive Baseline and What It Measures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central benchmark throughout this thesis is the Naive_Median baseline — the model that always predicts the training-set median residual (approximately zero after detrending, i.e. "on trend"). This baseline has an important theoretical property: the median minimises mean absolute error among all constant predictors. Therefore, no model that predicts a constant for every year can beat the Naive_Median on MAE, and any model that beats it must be doing so by identifying non-trivial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Naive_Median MAE can be interpreted as the minimum error achievable by any model that ignores the climate features entirely — it represents the "cost of not knowing the climate" in a given scenario. If the MAE from a climate-aware model is lower than the Naive_Median, the model has successfully extracted information from the climate features that reduces prediction error. If it is higher, the model has actively misused the climate information — adding noise rather than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fact that no model consistently beats the Naive_Median in this study therefore means not that climate is irrelevant to wine production (the CarenR rules demonstrate it is not) but that the climate signal is insufficient in magnitude and consistency to overcome year-to-year production noise in a held-out forecasting evaluation. This distinction between "the signal exists" and "the signal is strong enough to beat the baseline" is the central finding of Chapter 5 and motivates the two-decision decomposition framework described in Section 3.3.</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2.2.3 The Two-Year Vine Development Cycle — Why Previous-Year Data Matter</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defining property of the grapevine that distinguishes it from annual crops is its perennial nature: physiological processes in one growing season directly determine yield potential in the following season. Figure 2.1 illustrates the two-year development cycle that underpins the inclusion of previous-year (y0) features in the modelling pipeline.</w:t>
      </w:r>
    </w:p>
    <w:p>
      <w:pPr>
        <w:spacing w:after="60" w:before="60"/>
      </w:pPr>
      <w:r>
        <w:t xml:space="preserve"/>
      </w:r>
    </w:p>
    <w:p>
      <w:pPr>
        <w:spacing w:after="80" w:before="200"/>
        <w:jc w:val="center"/>
      </w:pPr>
      <w:r>
        <w:drawing>
          <wp:inline distT="0" distB="0" distL="0" distR="0">
            <wp:extent cx="5105400" cy="2038350"/>
            <wp:effectExtent t="0" r="0" b="0" l="0"/>
            <wp:docPr id="1" name="fig_grapevine_cycle.png" descr="fig_grapevine_cycle.png" title="fig_grapevine_cyc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105400" cy="20383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2.1. The two-year grapevine development cycle. The carry-over mechanisms (orange arrows) connect previous-year (y0, blue lane) conditions to current-year (y1, green lane) yield outcomes: (1) inflorescence primordia formed at flowering in Year N−1 determine the number of bunches in Year N; (2) carbohydrate reserves built during the Year N−1 harvest period govern shoot vigour and reproductive investment in Year N. Feature labels (dashed connectors) show the specific model variables extracted at each critical window.</w:t>
      </w:r>
    </w:p>
    <w:p>
      <w:pPr>
        <w:spacing w:after="120" w:before="120" w:line="360"/>
        <w:jc w:val="both"/>
      </w:pPr>
      <w:r>
        <w:rPr>
          <w:rFonts w:ascii="Times New Roman" w:cs="Times New Roman" w:eastAsia="Times New Roman" w:hAnsi="Times New Roman"/>
          <w:sz w:val="24"/>
          <w:szCs w:val="24"/>
        </w:rPr>
        <w:t xml:space="preserve">Two carry-over mechanisms are particularly important for the feature design used in this thesis. First, inflorescence primordia — the embryonic structures that will become grape clusters in the following year — are initiated during the spring and early summer of the prior growing season. The thermal conditions at the time of primordia formation (captured by tm_fl_y0 and tm_bb_y0 features) directly determine how many primordia differentiate into productive inflorescences rather than tendrils, setting an upper bound on current-year bunch number that cannot be altered by current-year climate. Second, the carbohydrate reserves accumulated during the prior year's harvest-to-dormancy period (captured by swa_hv_y0 and tn_hv_y0 features) determine the vine's reproductive investment in the current season: vines that finished the prior season in water or thermal stress have depleted reserves and redirect more assimilates to vegetative recovery, reducing berry development relative to shoot growth.</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The practical consequence for modelling is that any dataset covering only the current growing season is fundamentally incomplete for predicting annual wine production. A model that lacks y0 features will have access to only a subset of the biologically relevant information. The 15 previous-year features included in the dataset (25% of the 58-feature total, as shown in Figure D.1) are not arbitrary additions but represent the two physiological pathways — primordia formation and carbohydrate reserves — through which the prior season materially constrains current-year yield potential. This is confirmed empirically: the CarenR rule that produces the largest Douro production deviation (+192 mhl, Rule 4 in Table 4.1) explicitly combines a current-year soil water condition with a previous-year post-harvest dryness condition, demonstrating that the multi-year mechanism is detectable at the distributional level.</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describes the datasets, feature engineering pipeline, detrending methodology, rule-learning algorithms, walk-forward validation protocol, baseline models, and evaluation metrics used throughout the thesis. Section 3.4 provides a detailed technical description of all three rule-learning algorithms, including their internal mechanics, how they differ from one another, and why those differences matter for interpreting the results in Chapters 4 and 5.</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Study Regions and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study examines two geographically and climatically distinct Portuguese wine regions: the Douro Demarcated Region (RDD) and the Vinho Verde Region (RVV). The RDD dataset covers 89 annual observations from 1934 to 2022. The RVV dataset covers 80 annual observations from 1942 to 2021. Both datasets consist of one observation per year, where each observation contains a set of meteorological and phenological covariates together with annual wine production in thousands of hectolitres (mhl) as the response variable. Table 3.1 summarises the key characteristics of both datasets.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Characteristic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type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Continental / semi-arid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Temperate Atlantic</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increase (1930s–2010s)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decline (1960s–2020s)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Walk-forward scenarios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Response variable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r>
    </w:tbl>
    <w:p>
      <w:pPr>
        <w:spacing w:after="200" w:before="80"/>
        <w:jc w:val="center"/>
      </w:pPr>
      <w:r>
        <w:rPr>
          <w:rFonts w:ascii="Times New Roman" w:cs="Times New Roman" w:eastAsia="Times New Roman" w:hAnsi="Times New Roman"/>
          <w:i/>
          <w:iCs/>
          <w:sz w:val="20"/>
          <w:szCs w:val="20"/>
        </w:rPr>
        <w:t xml:space="preserve">Table 3.1. Dataset characteristics for the two study regions.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Covariates were constructed from daily temperature, rainfall, and soil water balance records, supplemented by Leaf Area Index (LAI) estimates from a vine phenological model. All variables were aggregated over windows defined by phenological stage and calendar date, producing features that correspond to agronomically meaningful periods of vine development. The feature naming convention encodes the variable type, phenological stage, year offset (current or previous year), and window width; for example, swa_hv_y1_b20 denotes soil water availability (swa) in the 20 days before (b20) harvest (hv)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Feature families included: mean and minimum temperature at each phenological window; total rainfall and number of wet days (days with rainfall &gt; 1 mm); soil water availability (mm) at budburst, flowering, veraison, and harvest; accumulated heat degree-days above 35°C and cold days below 15°C; and LAI at budburst and flowering. Lagged versions of selected features (previous growing season, denoted y0) were included to capture carryover effects from the prior year. The final feature matrix contained 59 candidate predictors per region.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Detrending and the Two-Decision Decomposition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models operate on linearly detrended residuals r_t = y_t − (α + βt), where y_t is observed production and (α + βt) is the OLS linear trend estimated on the training set. Predictions are converted back to the original scale by adding the projected trend value: ŷ_t = r̂_t + (α + βt). All preprocessing steps are performed exclusively on the training fold within each scenario to prevent data leakage.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1 — Trend modelling: </w:t>
      </w:r>
      <w:r>
        <w:rPr>
          <w:rFonts w:ascii="Times New Roman" w:cs="Times New Roman" w:eastAsia="Times New Roman" w:hAnsi="Times New Roman"/>
          <w:sz w:val="24"/>
          <w:szCs w:val="24"/>
        </w:rPr>
        <w:t xml:space="preserve">how accurately does the training-period trend extrapolate to test years? Measured by Naive_Median MAE.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2 — Climate signal extraction: </w:t>
      </w:r>
      <w:r>
        <w:rPr>
          <w:rFonts w:ascii="Times New Roman" w:cs="Times New Roman" w:eastAsia="Times New Roman" w:hAnsi="Times New Roman"/>
          <w:sz w:val="24"/>
          <w:szCs w:val="24"/>
        </w:rPr>
        <w:t xml:space="preserve">can a rule-based model predict detrended residuals better than zero? Measured by the gap between a model's weighted MAE and the Naive_Median weighted MAE.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3.4 Rule-Learning Algorithms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Three rule-learning algorithms were evaluated, representing three fundamentally different approaches to extracting interpretable patterns from the same data. Understanding how each algorithm works internally — and specifically what question it is designed to answer — is essential for correctly interpreting the results in Chapter 4 and the comparison in Section 4.6. Table 3.2 summarises the key characteristics of all three algorithms before each is described in detail.</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Property</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Task type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Distributional subgroup discovery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Classification rule learning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Piecewise linear regression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Target variable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classes (Low/Med/High)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Core question answered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When does the shape of the production distribution shift significantly?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climate class does a year belong to?</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exact production level does a year have?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criterion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Kolmogorov–Smirnov two-sample test (p ≤ 0.10)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Information gain / Gini (FOIL gain for rule growing)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 reduction (MSE minimisation)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distribution shifts up/down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class = Low / Med / 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production = linear model(features)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Feature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equal-frequency bins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(RIPPER finds own thresholds)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(M5Rules finds own thresholds)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Mean/median of matching subgroup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 midpoint or median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model evaluated at feature values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(no rules fire)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residual</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rule (most common class)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Global linear model (no conditions)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Interpretability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Very high — simple IF/THEN with distributional evidence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ordered IF/THEN classification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 — IF/THEN rules but with linear models at leaves</w:t>
            </w:r>
          </w:p>
        </w:tc>
      </w:tr>
    </w:tbl>
    <w:p>
      <w:pPr>
        <w:spacing w:after="200" w:before="80"/>
        <w:jc w:val="center"/>
      </w:pPr>
      <w:r>
        <w:rPr>
          <w:rFonts w:ascii="Times New Roman" w:cs="Times New Roman" w:eastAsia="Times New Roman" w:hAnsi="Times New Roman"/>
          <w:i/>
          <w:iCs/>
          <w:sz w:val="20"/>
          <w:szCs w:val="20"/>
        </w:rPr>
        <w:t xml:space="preserve">Table 3.2. Summary comparison of the three rule-learning algorithms.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3.4.1 CarenR — Distribution Rules via the CAREN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implements the CAREN (Contrast Association Rules for Extraordinary Nodes) framework, originally developed by Jorge et al. (2006) for discovering distribution rules in numeric data. It is the primary algorithm of this thesis and the only one of the three that is specifically designed for continuous response variables without requiring pre-discretisation of the target. This section describes its mechanics in detail.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Conceptual foundation. </w:t>
      </w:r>
      <w:r>
        <w:rPr>
          <w:rFonts w:ascii="Times New Roman" w:cs="Times New Roman" w:eastAsia="Times New Roman" w:hAnsi="Times New Roman"/>
          <w:sz w:val="24"/>
          <w:szCs w:val="24"/>
        </w:rPr>
        <w:t xml:space="preserve">Most rule-learning algorithms ask: "what value does this observation have?" CarenR asks a different question: "is there a subgroup of observations — defined by a conjunction of input feature conditions — where the statistical distribution of the target variable is significantly different from the distribution across the full dataset?" A CarenR rule does not say "this year will produce X mhl." It says "in years satisfying these climate conditions, the production distribution is shifted upward (or downward) in a statistically significant way — the entire distributional shape is different, not just the mean." This distinction between point prediction and distributional shift is fundamental to understanding both the strengths and the limitations of CarenR.</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1 — Feature discretisation. </w:t>
      </w:r>
      <w:r>
        <w:rPr>
          <w:rFonts w:ascii="Times New Roman" w:cs="Times New Roman" w:eastAsia="Times New Roman" w:hAnsi="Times New Roman"/>
          <w:sz w:val="24"/>
          <w:szCs w:val="24"/>
        </w:rPr>
        <w:t xml:space="preserve">CarenR requires discrete (ordinal) input features. Before rule induction, each continuous climate feature is independently discretised into four equal-frequency bins (quartiles) using the training set. Equal-frequency binning ensures that each bin contains approximately the same number of training observations, avoiding sparse bins at extreme values that would make the KS test unreliable. For example, the feature swa_hv_y1_b20 (soil water at harvest) might be discretised into bins [20–74 mm], [74–101 mm], [101–152 mm], [152–350 mm], each containing approximately 22 of the 89 RDD training observations. Crucially, bin boundaries are computed exclusively on the training fold in each walk-forward scenario, preventing any leakage of test-set information into the discretisation step.</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2 — Feature selection. </w:t>
      </w:r>
      <w:r>
        <w:rPr>
          <w:rFonts w:ascii="Times New Roman" w:cs="Times New Roman" w:eastAsia="Times New Roman" w:hAnsi="Times New Roman"/>
          <w:sz w:val="24"/>
          <w:szCs w:val="24"/>
        </w:rPr>
        <w:t xml:space="preserve">With 59 candidate features, each discretised into 4 bins, the full itemset search space is combinatorially large. A feature selection step reduces the feature set before rule induction, retaining only the most informative features. This thesis evaluates several selection strategies (described in Table 3.3 below) as distinct CarenR variants. The primary strategies are η²-based selection (which measures the association between each discretised feature and the discretised response using the ANOVA effect size η²), Pearson correlation selection (|r| above median), and support-filtered Pearson selection (which additionally requires that each bin of a feature contains at least a minimum fraction of the training data). The feature selection step is also performed exclusively on training data within each fold.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3 — Rule induction via subgroup search. </w:t>
      </w:r>
      <w:r>
        <w:rPr>
          <w:rFonts w:ascii="Times New Roman" w:cs="Times New Roman" w:eastAsia="Times New Roman" w:hAnsi="Times New Roman"/>
          <w:sz w:val="24"/>
          <w:szCs w:val="24"/>
        </w:rPr>
        <w:t xml:space="preserve">CarenR searches for conjunctions of feature-bin conditions (itemsets) that define subgroups with distributional shift in the target variable. The search proceeds breadth-first: single-condition rules are evaluated first, then two-condition conjunctions are formed from the most promising single conditions, and so on up to a maximum rule length (typically 3–4 conditions). For each candidate subgroup, the observations in the training set satisfying all conditions are identified, and a two-sample Kolmogorov–Smirnov (KS) test is performed comparing the target distribution in the subgroup against the global training distribution.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4 — The Kolmogorov–Smirnov test. </w:t>
      </w:r>
      <w:r>
        <w:rPr>
          <w:rFonts w:ascii="Times New Roman" w:cs="Times New Roman" w:eastAsia="Times New Roman" w:hAnsi="Times New Roman"/>
          <w:sz w:val="24"/>
          <w:szCs w:val="24"/>
        </w:rPr>
        <w:t xml:space="preserve">The KS test is a non-parametric statistical test that compares two empirical cumulative distribution functions (ECDFs). Given a subgroup S of n_S observations and the global training set of n_T observations, the KS statistic D is the maximum absolute difference between the two ECDFs:</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D = max|F_S(x) − F_T(x)|</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 F_S(x) is the empirical CDF of the target in the subgroup and F_T(x) is the empirical CDF in the global set. A large D indicates that the two distributions are far apart — the subgroup has a systematically different pattern of production values. The p-value associated with D measures the probability of observing this large a difference by chance if the two samples were drawn from the same distribution. A rule is retained only if p ≤ 0.10 (the significance threshold used in this study). The KS test makes no assumption about the shape of either distribution, which is important given the small sample sizes (n = 80–89) and the non-normal distribution of production residuals.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5 — Support filter. </w:t>
      </w:r>
      <w:r>
        <w:rPr>
          <w:rFonts w:ascii="Times New Roman" w:cs="Times New Roman" w:eastAsia="Times New Roman" w:hAnsi="Times New Roman"/>
          <w:sz w:val="24"/>
          <w:szCs w:val="24"/>
        </w:rPr>
        <w:t xml:space="preserve">A statistically significant rule that covers only two or three observations (very low support) is not useful — it describes a pattern too rare to be actionable and is likely to be a chance finding. CarenR applies a minimum support filter: a rule is retained only if it covers at least 15% of training observations (approximately 12–13 years for an 89-year dataset). This filter ensures that reported rules represent patterns that recur meaningfully across the historical record, not isolated outlier years.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6 — Rule output and prediction. </w:t>
      </w:r>
      <w:r>
        <w:rPr>
          <w:rFonts w:ascii="Times New Roman" w:cs="Times New Roman" w:eastAsia="Times New Roman" w:hAnsi="Times New Roman"/>
          <w:sz w:val="24"/>
          <w:szCs w:val="24"/>
        </w:rPr>
        <w:t xml:space="preserve">Each retained rule describes a climate subgroup as a conjunction of feature-bin conditions, along with the mean and standard deviation of the target variable within the subgroup and the KS p-value. An example RDD rule output reads: "IF wet days post-flowering ∈ [0, 3.33] AND wet days post-maturity ∈ [0, 3.46] THEN production is +121 mhl above trend on average (support 28%, p = 0.0043)." At prediction time for a new test year, the feature values of the test year are checked against all retained rules. If one or more rules fire (all conditions are satisfied), their predicted residuals are aggregated — typically as a support-weighted average. If no rule fires, the model falls back to the training median residual, producing the same prediction as the Naive_Median baseline. This fallback mechanism is critical: it means CarenR never predicts worse than the naive baseline unless it fires a rule, which makes the walk-forward evaluation in Chapter 5 a direct test of whether the fired rules add value beyond the median.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What makes CarenR unique. </w:t>
      </w:r>
      <w:r>
        <w:rPr>
          <w:rFonts w:ascii="Times New Roman" w:cs="Times New Roman" w:eastAsia="Times New Roman" w:hAnsi="Times New Roman"/>
          <w:sz w:val="24"/>
          <w:szCs w:val="24"/>
        </w:rPr>
        <w:t xml:space="preserve">Three properties distinguish CarenR from standard rule learners. First, the KS-test criterion detects distributional shift rather than class membership or squared error reduction. This allows CarenR to identify features whose relationship with production is probabilistic and distributional — for example, LAI at harvest in Vinho Verde (Section 4.6.3), which reliably shifts the production distribution without reliably predicting any single year's exact value. Second, rules are verified against a global null distribution rather than constructed greedily to separate pre-defined classes, making them statistically grounded in a way that classification rules are not. Third, the explicit fallback mechanism means that CarenR is conservative: it only makes a claim about a test year when at least one training-set rule matches, and defaults to the safe prediction otherwise.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 selector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criterion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Notes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59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Widest search; most risk of spurious 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Retain above-median |r|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common baseline variant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Bin-wise ANOVA η² with response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Best for RDD — captures non-linear association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20%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Conservative: |r| + minimum bin coverage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stable across both regions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0.20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Reduces feature set aggressively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support filter (less strict than 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Intermediate conservatism</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Augment set with autocorrelated lags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carryover temporal effects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prediction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 rules by 1 − p-value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Stronger rules get more prediction weight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residuals as second-stage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whether stacking adds 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 using response quantiles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Evaluates target leakage from discretisation</w:t>
            </w:r>
          </w:p>
        </w:tc>
      </w:tr>
    </w:tbl>
    <w:p>
      <w:pPr>
        <w:spacing w:after="200" w:before="80"/>
        <w:jc w:val="center"/>
      </w:pPr>
      <w:r>
        <w:rPr>
          <w:rFonts w:ascii="Times New Roman" w:cs="Times New Roman" w:eastAsia="Times New Roman" w:hAnsi="Times New Roman"/>
          <w:i/>
          <w:iCs/>
          <w:sz w:val="20"/>
          <w:szCs w:val="20"/>
        </w:rPr>
        <w:t xml:space="preserve">Table 3.3. CarenR variants evaluated in this thesis, differing in feature selection strategy or prediction mechanism.</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3.4.2 RIPPER — Repeated Incremental Pruning to Produce Error Reduction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implemented as JRip in the Weka machine learning toolkit (Witten et al., 2011), is a propositional rule learning algorithm for classification. It was introduced by Cohen (1995) as an efficient, scalable alternative to earlier rule learners such as CN2, and remains one of the most widely used interpretable classification algorithms. In this thesis RIPPER serves as an interpretable classification benchmark, allowing the rules found by CarenR to be compared against a well-established rule-based classification baseline.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Target discretisation. </w:t>
      </w:r>
      <w:r>
        <w:rPr>
          <w:rFonts w:ascii="Times New Roman" w:cs="Times New Roman" w:eastAsia="Times New Roman" w:hAnsi="Times New Roman"/>
          <w:sz w:val="24"/>
          <w:szCs w:val="24"/>
        </w:rPr>
        <w:t xml:space="preserve">RIPPER is a classifier: it requires a discrete target variable. The continuous production residuals are therefore discretised into three ordinal classes — Low, Medium, and High — using tertile boundaries estimated on the training set. Each class contains approximately one third of the training observations. The class boundaries are estimated within each training fold in the walk-forward evaluation to prevent leakage. This discretisation step introduces a loss of information relative to CarenR and M5Rules, which both operate on the continuous response.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growing with FOIL gain. </w:t>
      </w:r>
      <w:r>
        <w:rPr>
          <w:rFonts w:ascii="Times New Roman" w:cs="Times New Roman" w:eastAsia="Times New Roman" w:hAnsi="Times New Roman"/>
          <w:sz w:val="24"/>
          <w:szCs w:val="24"/>
        </w:rPr>
        <w:t xml:space="preserve">RIPPER constructs rules one class at a time, starting with the minority class and working towards the majority class. For each class, it grows a rule by greedily adding conditions that maximise the FOIL information gain — a measure that rewards conditions that increase the ratio of positive (target class) to negative (other class) examples covered by the rule. Starting from an empty condition set, RIPPER adds one condition at a time until no further gain is possible or a stopping criterion is met. The grown rule is typically a conjunction of 2–5 conditions that together define a subregion of feature space highly concentrated in the target class.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pruning with MDL. </w:t>
      </w:r>
      <w:r>
        <w:rPr>
          <w:rFonts w:ascii="Times New Roman" w:cs="Times New Roman" w:eastAsia="Times New Roman" w:hAnsi="Times New Roman"/>
          <w:sz w:val="24"/>
          <w:szCs w:val="24"/>
        </w:rPr>
        <w:t xml:space="preserve">Overfitting is controlled by a pruning step that removes conditions from the grown rule using the Minimum Description Length (MDL) principle: conditions whose removal reduces the total description length of the rule set plus the data are deleted. This balances rule complexity against coverage — a rule that is slightly less precise but covers more observations is preferred over a highly specific rule covering very few. After pruning, RIPPER checks whether replacing or revising a rule reduces the total error, iterating until convergence.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Ordered rule list and default rule. </w:t>
      </w:r>
      <w:r>
        <w:rPr>
          <w:rFonts w:ascii="Times New Roman" w:cs="Times New Roman" w:eastAsia="Times New Roman" w:hAnsi="Times New Roman"/>
          <w:sz w:val="24"/>
          <w:szCs w:val="24"/>
        </w:rPr>
        <w:t xml:space="preserve">The final output of RIPPER is an ordered rule list: rules are applied in the order they were learned, and the first rule whose conditions are satisfied assigns the class for a given observation. Any observation not covered by any explicit rule is assigned the default class — the most frequent class in the training data. This ordered, default-inclusive structure ensures complete coverage: every observation receives a class label. In this thesis, the default rule covered the majority of observations (all years not matching explicit climate conditions), limiting RIPPER's ability to characterise positive (above-trend) production years in the Douro.</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RIPPER struggles with small datasets. </w:t>
      </w:r>
      <w:r>
        <w:rPr>
          <w:rFonts w:ascii="Times New Roman" w:cs="Times New Roman" w:eastAsia="Times New Roman" w:hAnsi="Times New Roman"/>
          <w:sz w:val="24"/>
          <w:szCs w:val="24"/>
        </w:rPr>
        <w:t xml:space="preserve">RIPPER was designed for large databases where each class is represented by thousands of examples. With n = 80–89 observations split into three classes of approximately 27–30 each, the per-class sample size is very small relative to the dimensionality of the feature space. FOIL gain estimates are unreliable on such small samples, and the MDL pruning criterion may be too aggressive or too permissive. The result is either overly specific rules (high precision, very low support) or a near-trivial rule list (one or two rules plus a default) that captures only the most obvious patterns. Cross-validated accuracy of 35–42% — only slightly above the 33% random baseline — reflects this limitation directly.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3.4.3 M5Rules — Piecewise Linear Model Trees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M5Rules, also implemented in Weka, is a piecewise linear regression rule learner derived from the M5 model tree algorithm (Quinlan, 1992; Wang and Witten, 1997). Instead of predicting a class label or a distributional shift, M5Rules predicts an exact numerical value for each observation by applying a linear regression model whose coefficients depend on which region of feature space the observation falls in. This makes M5Rules the only algorithm in this study that produces a direct point estimate of the production residual, making it directly comparable to the naive baseline and to CarenR's subgroup-mean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Model tree construction. </w:t>
      </w:r>
      <w:r>
        <w:rPr>
          <w:rFonts w:ascii="Times New Roman" w:cs="Times New Roman" w:eastAsia="Times New Roman" w:hAnsi="Times New Roman"/>
          <w:sz w:val="24"/>
          <w:szCs w:val="24"/>
        </w:rPr>
        <w:t xml:space="preserve">M5Rules begins by constructing a regression model tree using a top-down recursive partitioning procedure. At each node of the tree, M5Rules selects the feature and split threshold that maximise the reduction in standard deviation of the target variable across the two resulting child nodes — analogous to the variance reduction criterion used by CART, but applied to a regression setting. This process continues recursively until each leaf contains a minimum number of observations (default: 4 in Weka). The result is a binary tree that partitions the feature space into disjoint regions, with a multivariate linear regression model estimated at each leaf using the observations that reach it.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Leaf model estimation and smoothing. </w:t>
      </w:r>
      <w:r>
        <w:rPr>
          <w:rFonts w:ascii="Times New Roman" w:cs="Times New Roman" w:eastAsia="Times New Roman" w:hAnsi="Times New Roman"/>
          <w:sz w:val="24"/>
          <w:szCs w:val="24"/>
        </w:rPr>
        <w:t xml:space="preserve">Within each leaf, a linear regression model is fitted to the training observations in that leaf using ordinary least squares. M5Rules applies a smoothing procedure that interpolates between the leaf model and progressively coarser ancestor models as the observation moves up the tree, reducing the discontinuities at split boundaries that would otherwise produce implausible predictions near the edges of each leaf region. The smoothed prediction at leaf depth d is a weighted combination of the leaf model and each ancestor model's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Pruning and conversion to rules. </w:t>
      </w:r>
      <w:r>
        <w:rPr>
          <w:rFonts w:ascii="Times New Roman" w:cs="Times New Roman" w:eastAsia="Times New Roman" w:hAnsi="Times New Roman"/>
          <w:sz w:val="24"/>
          <w:szCs w:val="24"/>
        </w:rPr>
        <w:t xml:space="preserve">After tree construction, M5Rules prunes branches whose removal does not increase cross-validation error beyond a tolerance threshold. The pruned tree is then converted into an ordered rule list: each path from the root to a leaf becomes one rule, with the conditions along the path as the antecedent and the leaf's linear model as the consequent. Rules are applied in order; the first matching rule is used, with the final rule having no conditions (applies to all observations) as a universal default. This conversion gives M5Rules the same human-readable rule format as RIPPER but with a linear model at each leaf rather than a class label.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M5Rules collapses to a global model on small datasets. </w:t>
      </w:r>
      <w:r>
        <w:rPr>
          <w:rFonts w:ascii="Times New Roman" w:cs="Times New Roman" w:eastAsia="Times New Roman" w:hAnsi="Times New Roman"/>
          <w:sz w:val="24"/>
          <w:szCs w:val="24"/>
        </w:rPr>
        <w:t xml:space="preserve">M5Rules' standard deviation reduction criterion requires that each split create two child nodes, each with sufficient observations for reliable linear regression. With a minimum leaf size of 4 and n = 80–89 training observations, the algorithm cannot split the data more than a few times before individual leaves become too small for stable regression. In practice, M5Rules found no beneficial split in either region on the full dataset, collapsing to a single global linear model: one rule with no conditions that applies to all observations. This global model fits the training data with R² ≈ 0.40–0.53 but generalises poorly, with cross-validated R² falling to 0.004 (RDD) and −0.07 (RVV). The negative CV R² for RVV confirms that the model is worse than simply predicting the global mean — it has overfit the training set despite using a single linear equation.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Comparison with CarenR and RIPPER. </w:t>
      </w:r>
      <w:r>
        <w:rPr>
          <w:rFonts w:ascii="Times New Roman" w:cs="Times New Roman" w:eastAsia="Times New Roman" w:hAnsi="Times New Roman"/>
          <w:sz w:val="24"/>
          <w:szCs w:val="24"/>
        </w:rPr>
        <w:t xml:space="preserve">The three algorithms differ fundamentally in what they optimise and what they produce. CarenR searches for distributional anomalies using a non-parametric test — it will find a feature informative if it shifts the production distribution in a statistically reliable way, even if that shift is not captured by a linear coefficient or a class boundary. RIPPER searches for class-separating conditions using information gain — it will find a feature informative if it concentrates one production class, regardless of the distribution of other classes. M5Rules searches for variance-reducing splits using squared error — it will find a feature informative if it enables a more accurate linear model, penalising large deviations quadratically. A feature that shifts the mean of the production distribution (detected by CarenR) but does not cleanly separate the three classes (not detected by RIPPER) and adds noise rather than linearity to the regression (not detected by M5Rules) will appear in CarenR's output but not in the others. This is precisely the situation for LAI at harvest in Vinho Verde, as discussed in Section 4.6.3.</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3.5 Walk-Forward Validation Protocol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Model performance for Goal 2 was assessed using a walk-forward expanding-window validation. The earliest 80% of each regional time series defines the minimum training window. At each subsequent step (scenario), the training window is extended by one year and the model is re-fitted from scratch on all available training data; the next year is then predicted and its prediction error recorded. This generates 18 evaluation scenarios for RDD and 16 for RVV. All preprocessing steps — linear trend estimation, feature discretisation, and feature selection — are performed exclusively on the training fold within each scenario to prevent data leakage.</w:t>
      </w:r>
    </w:p>
    <w:p>
      <w:r>
        <w:rPr>
          <w:rFonts w:ascii="Times New Roman" w:hAnsi="Times New Roman"/>
          <w:sz w:val="24"/>
        </w:rPr>
        <w:t>Specifically, with a minimum training fraction of 80% applied to 89 RDD observations, the minimum training window covers 71 years (1934–2004), leaving 18 subsequent years (2005–2022) as sequential test years — one per scenario. For RVV, 80% of 80 observations yields a minimum training window of 64 years (1942–2005), leaving 16 test years (2006–2021).</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3.6 Baseline Models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Naive_Median: </w:t>
      </w:r>
      <w:r>
        <w:rPr>
          <w:rFonts w:ascii="Times New Roman" w:cs="Times New Roman" w:eastAsia="Times New Roman" w:hAnsi="Times New Roman"/>
          <w:sz w:val="24"/>
          <w:szCs w:val="24"/>
        </w:rPr>
        <w:t xml:space="preserve">predicts the median of the training-set residuals for every test year — equivalent to predicting that every test year will be exactly on trend. Minimises MAE among all constant predictors.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 (last value): </w:t>
      </w:r>
      <w:r>
        <w:rPr>
          <w:rFonts w:ascii="Times New Roman" w:cs="Times New Roman" w:eastAsia="Times New Roman" w:hAnsi="Times New Roman"/>
          <w:sz w:val="24"/>
          <w:szCs w:val="24"/>
        </w:rPr>
        <w:t xml:space="preserve">predicts the most recently observed production value, corresponding to a random-walk assumption.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Naive_MA (moving average): </w:t>
      </w:r>
      <w:r>
        <w:rPr>
          <w:rFonts w:ascii="Times New Roman" w:cs="Times New Roman" w:eastAsia="Times New Roman" w:hAnsi="Times New Roman"/>
          <w:sz w:val="24"/>
          <w:szCs w:val="24"/>
        </w:rPr>
        <w:t xml:space="preserve">predicts the mean of the three most recent training observations in original units.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Decision Tree (CART) regressor was also included as a non-rule-based ML comparator.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3.7 Evaluation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evaluation metric is scenario-size-weighted MAE on the original production scale (mhl):</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Weighted MAE = Σ (n_s × MAE_s) / Σ n_s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 n_s is the number of test observations in scenario s. This weighting gives more influence to scenarios with larger test sets, which in the expanding-window design are the early scenarios with shorter training histories. Statistical significance of model differences was assessed using the Wilcoxon signed-rank test applied to per-scenario MAE pairs; the post-hoc era-balanced analysis used a binomial sign test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3.8 Software and Reproducibility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full pipeline was implemented in R (version 4.x). CarenR was run via the caren R package. RIPPER and M5Rules were run via RWeka, providing a JVM bridge to Weka 3.8. The pipeline is controlled by a master runner script (run_all_pipelines.R) that sequences data preparation, rule discovery, walk-forward validation, rule interpretation, and output generation. All detrending parameters and model hyperparameters are centralised in a configuration file (utils/config.R) to ensure reproducibility.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3.4.1.7  Prediction Aggregation — Combining Multiple Firing Rules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When multiple rules fire for a given test observation, their individual predictions must be aggregated into a single point estimate. This aggregation step is where the 11 CarenR variants diverge in their prediction mechanism, even when they use the same underlying feature selection. The general prediction formula for a test observation x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ŷ(x) = Σᵢ wᵢ(x) · μᵢ  /  Σᵢ wᵢ(x)</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where the sum is over all rules i that fire for observation x (i.e. all conditions of rule i are satisfied by x), μᵢ is the mean residual of the training observations covered by rule i, and wᵢ(x) is the weight assigned to rule i for observation x. The weight definition distinguishes the variants:</w:t>
      </w:r>
    </w:p>
    <w:p>
      <w:pPr>
        <w:spacing w:after="60" w:before="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0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 family</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 wᵢ(x)</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Formula</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Rationale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Base (Dist, FS, Eta2,
Sup_FS, Thresh, Lag)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Support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sᵢ
(fraction of training obs. covered)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higher coverage are weighted more — they represent more stable, generalisable patterns. A rule covering 28% of years gets ~2× the weight of one covering 15%.</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(CarenR_Dist_Conf)</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 of rule i</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 1 − pᵢ
(where pᵢ is the KS p-value)</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stronger statistical significance (lower p-value, higher 1−p) are weighted more. A rule with p=0.004 gets weight 0.996; a rule with p=0.09 gets weight 0.91. Prioritises statistical robustness over coverage.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Stacking
(CarenR_Dist_Stack)</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Second-stage model weight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wᵢ from a second-stage
linear model fitted on
rule predictions</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residuals from the first-stage CarenR predictions are used as input to a second-stage model. Equivalent to learning an optimal linear combination of rule predictions on the training set.</w:t>
            </w:r>
          </w:p>
        </w:tc>
      </w:tr>
    </w:tbl>
    <w:p>
      <w:pPr>
        <w:spacing w:after="200" w:before="80"/>
        <w:jc w:val="center"/>
      </w:pPr>
      <w:r>
        <w:rPr>
          <w:rFonts w:ascii="Times New Roman" w:cs="Times New Roman" w:eastAsia="Times New Roman" w:hAnsi="Times New Roman"/>
          <w:i/>
          <w:iCs/>
          <w:sz w:val="20"/>
          <w:szCs w:val="20"/>
        </w:rPr>
        <w:t xml:space="preserve">Table 3.4. Prediction aggregation formulas for the three CarenR variant families.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For the default support-weighted case (used by the majority of variants), the full prediction formula for test year t is:</w:t>
      </w:r>
    </w:p>
    <w:p>
      <w:pPr>
        <w:spacing w:after="60" w:before="60"/>
      </w:pPr>
      <w:r>
        <w:t xml:space="preserve"/>
      </w:r>
    </w:p>
    <w:p>
      <w:pPr>
        <w:spacing w:after="120" w:before="120"/>
        <w:jc w:val="center"/>
      </w:pPr>
      <w:r>
        <w:rPr>
          <w:rFonts w:ascii="Times New Roman" w:cs="Times New Roman" w:eastAsia="Times New Roman" w:hAnsi="Times New Roman"/>
          <w:i/>
          <w:iCs/>
          <w:sz w:val="24"/>
          <w:szCs w:val="24"/>
        </w:rPr>
        <w:t xml:space="preserve">ŷ(t) = Σᵢ∈F(t) [sᵢ · μᵢ]  /  Σᵢ∈F(t) sᵢ        if F(t) ≠ ∅</w:t>
      </w:r>
    </w:p>
    <w:p>
      <w:pPr>
        <w:spacing w:after="120" w:before="120"/>
        <w:jc w:val="center"/>
      </w:pPr>
      <w:r>
        <w:rPr>
          <w:rFonts w:ascii="Times New Roman" w:cs="Times New Roman" w:eastAsia="Times New Roman" w:hAnsi="Times New Roman"/>
          <w:i/>
          <w:iCs/>
          <w:sz w:val="24"/>
          <w:szCs w:val="24"/>
        </w:rPr>
        <w:t xml:space="preserve">ŷ(t) = median(r₁, r₂, …, rₙ)                   if F(t) = ∅</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where F(t) = {i : all conditions of rule i are satisfied by features of year t} is the set of firing rules, sᵢ ∈ [0.15, 1.0] is the support fraction of rule i, μᵢ is the mean detrended production residual among training observations covered by rule i, and median(r₁, …, rₙ) is the training-set median residual (the Naive_Median prediction, used as fallback when no rules fire).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A worked example illustrates the formula. Suppose test year 2015 has the following feature values: wet days post-flowering = 1.2 days, soil water pre-harvest = 89 mm, heat days post-flowering = 0.4 days. Three rules fire:</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300"/>
        <w:gridCol w:w="900"/>
        <w:gridCol w:w="1500"/>
      </w:tblGrid>
      <w:tr>
        <w:trPr>
          <w:tblHeader/>
        </w:trPr>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Rule</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 matched</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Subgroup mean μᵢ</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 sᵢ</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contribution sᵢ·μᵢ</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Wet days post-maturity [0–3.5d]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34.00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Heat days pre-maturity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0.247</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 [0–3.3d] ✓
Soil water pre-hv [74–231 mm] ✓
Heat days pre-mat [0–3.7d] ✓</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0.213</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24.50</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Sum</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 = 0.741</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Σsᵢ·μᵢ = 86.91</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ŷ = 86.91 / 0.741 = +117.3 mhl</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3.5. Worked example of support-weighted prediction for a test year where three rules fire. The prediction (+117.3 mhl above trend) is a weighted average of the three subgroup means, with weights proportional to their training-set coverage.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The predicted residual (+117.3 mhl) is then re-trended by adding the linear trend value projected to 2015 to produce the final production estimate in mhl. This re-trending step ensures the prediction is on the original scale and directly comparable to the actual production value for the MAE computation.</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Why support weighting rather than equal weighting? </w:t>
      </w:r>
      <w:r>
        <w:rPr>
          <w:rFonts w:ascii="Times New Roman" w:cs="Times New Roman" w:eastAsia="Times New Roman" w:hAnsi="Times New Roman"/>
          <w:sz w:val="24"/>
          <w:szCs w:val="24"/>
        </w:rPr>
        <w:t xml:space="preserve">Equal weighting would give every firing rule the same influence regardless of how broadly applicable it is. A rule covering 15% of training years (the minimum support threshold) represents a pattern seen in roughly 13 years out of 89; a rule covering 28% of years was observed in approximately 25 years. Giving equal weight to both would over-represent narrow, potentially less stable patterns. Support weighting is a principled way to account for statistical reliability without fully discarding less-common rules — they still contribute, but proportionally to their historical recurrence.</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The confidence-weighted variant (CarenR_Dist_Conf) </w:t>
      </w:r>
      <w:r>
        <w:rPr>
          <w:rFonts w:ascii="Times New Roman" w:cs="Times New Roman" w:eastAsia="Times New Roman" w:hAnsi="Times New Roman"/>
          <w:sz w:val="24"/>
          <w:szCs w:val="24"/>
        </w:rPr>
        <w:t xml:space="preserve">uses 1 − pᵢ as the weight, giving more influence to rules whose subgroup distribution is most statistically distinct from the global distribution. In theory this should favour the most reliable patterns; in practice it performs comparably to support weighting (RDD rank 6, RVV rank 3 in Table 5.1), suggesting that KS p-value and support are correlated enough that both approaches identify the same rules as most important.</w:t>
      </w:r>
    </w:p>
    <w:p>
      <w:pPr>
        <w:spacing w:after="60" w:before="60"/>
      </w:pPr>
      <w:r>
        <w:t xml:space="preserve"/>
      </w:r>
    </w:p>
    <w:p>
      <w:pPr>
        <w:spacing w:after="120" w:before="120" w:line="360"/>
        <w:jc w:val="both"/>
      </w:pPr>
      <w:r>
        <w:rPr>
          <w:rFonts w:ascii="Times New Roman" w:cs="Times New Roman" w:eastAsia="Times New Roman" w:hAnsi="Times New Roman"/>
          <w:b/>
          <w:bCs/>
          <w:sz w:val="24"/>
          <w:szCs w:val="24"/>
        </w:rPr>
        <w:t xml:space="preserve">When exactly one rule fires, </w:t>
      </w:r>
      <w:r>
        <w:rPr>
          <w:rFonts w:ascii="Times New Roman" w:cs="Times New Roman" w:eastAsia="Times New Roman" w:hAnsi="Times New Roman"/>
          <w:sz w:val="24"/>
          <w:szCs w:val="24"/>
        </w:rPr>
        <w:t xml:space="preserve">the formula simplifies to ŷ(t) = μᵢ — the prediction is simply the mean residual of the matching subgroup, independent of support (which cancels). The support weighting only has an effect when two or more rules fire simultaneously, resolving conflicts by favouring more broadly applicable rules.</w:t>
      </w:r>
    </w:p>
    <w:p>
      <w:pPr>
        <w:spacing w:after="60" w:before="60"/>
      </w:pPr>
      <w:r>
        <w:t xml:space="preserve"/>
      </w:r>
    </w:p>
    <w:p>
      <w:pPr>
        <w:pStyle w:val="Heading1"/>
        <w:spacing w:after="180" w:before="360"/>
      </w:pPr>
      <w:r>
        <w:rPr>
          <w:rFonts w:ascii="Times New Roman" w:cs="Times New Roman" w:eastAsia="Times New Roman" w:hAnsi="Times New Roman"/>
          <w:b/>
          <w:bCs/>
          <w:sz w:val="28"/>
          <w:szCs w:val="28"/>
        </w:rPr>
        <w:t xml:space="preserve">3. Methodology (Addition: Section 3.3.1 — Stationarity Testing)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section supplements Chapter 3 (Section 3.3) with formal stationarity test results. The tests were computed using the statsmodels library (Python) on the production series and their linear detrended residuals.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3.3.1 Formal Stationarity Testing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need for detrending is not merely heuristic: both production series exhibit statistically significant non-stationarity in their raw form, formally confirmed by two complementary tests. The Augmented Dickey-Fuller (ADF) test uses the null hypothesis that a unit root is present (non-stationary); rejection at α = 0.05 indicates stationarity. The KPSS (Kwiatkowski-Phillips-Schmidt-Shin) test reverses this logic, using the null hypothesis of stationarity; rejection indicates non-stationarity. Applying both tests provides a more robust assessment than either test alone, since ADF has low power against near-unit-root processes and KPSS is sensitive to long-run variance estimation.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3.7 reports the test results for the raw production series and the linear detrended residuals for both regions.</w:t>
      </w:r>
    </w:p>
    <w:p>
      <w:pPr>
        <w:spacing w:after="80" w:before="8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200"/>
        <w:gridCol w:w="1400"/>
        <w:gridCol w:w="1200"/>
        <w:gridCol w:w="1200"/>
        <w:gridCol w:w="1400"/>
      </w:tblGrid>
      <w:tr>
        <w:trPr>
          <w:tblHeader/>
        </w:trPr>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Region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Series</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ADF statistic</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ADF p-value</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Verdict</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KPSS statistic</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KPSS p-value</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Verdict</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(Wine_mhl)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0.381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(unit root)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0.134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0.071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Borderline stationary
around trend</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detrended
residuals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−8.520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&lt;0.001 ***</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Stationary ✓</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0.134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0.100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Stationary ✓</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(Wine_mhl)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−0.490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0.894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(unit root)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0.010 **</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(rejects stationarity
around trend)</w:t>
            </w:r>
          </w:p>
        </w:tc>
      </w:tr>
      <w:tr>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detrended
residuals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−1.817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Non-stationary
(unit root remains)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0.100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Stationary ✓
(level stationarity)</w:t>
            </w:r>
          </w:p>
        </w:tc>
      </w:tr>
    </w:tbl>
    <w:p>
      <w:pPr>
        <w:spacing w:after="200" w:before="80"/>
        <w:jc w:val="center"/>
      </w:pPr>
      <w:r>
        <w:rPr>
          <w:rFonts w:ascii="Times New Roman" w:cs="Times New Roman" w:eastAsia="Times New Roman" w:hAnsi="Times New Roman"/>
          <w:i/>
          <w:iCs/>
          <w:sz w:val="20"/>
          <w:szCs w:val="20"/>
        </w:rPr>
        <w:t xml:space="preserve">Table 3.7. Stationarity test results for raw production series and linear detrended residuals. ADF H0: unit root present (non-stationary); KPSS H0: series is stationary. Trend slopes: RDD +7.37 mhl/yr (t=7.55, p&lt;0.0001); RVV −21.22 mhl/yr (t=−7.91, p&lt;0.0001). *** p&lt;0.001, ** p&lt;0.01.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results have three important implications for the methodological choices made in this thesis.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 1 — Detrending is formally justified for both regions. </w:t>
      </w:r>
      <w:r>
        <w:rPr>
          <w:rFonts w:ascii="Times New Roman" w:cs="Times New Roman" w:eastAsia="Times New Roman" w:hAnsi="Times New Roman"/>
          <w:sz w:val="24"/>
          <w:szCs w:val="24"/>
        </w:rPr>
        <w:t xml:space="preserve">Both raw series fail the ADF test (p = 0.38 for RDD, p = 0.89 for RVV), confirming that unit roots cannot be rejected in either series. The linear trend slopes are both highly statistically significant (p &lt; 0.0001), confirming that the observed trends are not artefacts of sampling variability. Applying machine learning models to the raw series without detrending would violate the stationarity assumptions implicit in cross-sectional feature-based modelling and would confound climate effects with structural level changes.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 2 — Linear detrending achieves full stationarity in RDD but only partial stationarity in RVV. </w:t>
      </w:r>
      <w:r>
        <w:rPr>
          <w:rFonts w:ascii="Times New Roman" w:cs="Times New Roman" w:eastAsia="Times New Roman" w:hAnsi="Times New Roman"/>
          <w:sz w:val="24"/>
          <w:szCs w:val="24"/>
        </w:rPr>
        <w:t xml:space="preserve">After linear detrending, the RDD residuals pass both the ADF test (p &lt; 0.001) and the KPSS test (p = 0.10), confirming stationarity by both criteria. The RVV residuals pass the KPSS level-stationarity test (p = 0.10) but fail the ADF test (p = 0.37), indicating that a unit root cannot be rejected even after removing the linear trend. This is formal statistical evidence that the RVV structural change — the sharp non-linear decline associated with EU accession and industry restructuring — is not fully captured by a linear trend. Persistent non-stationarity in the RVV residuals means that the era-composition effects observed in the walk-forward evaluation (Section 5.3) have a formal statistical basis: the residuals themselves are non-stationary, which means rules discovered in early training windows may not generalise to later test windows.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 3 — The mixed RVV result formally motivates LOESS detrending as a more flexible alternative. </w:t>
      </w:r>
      <w:r>
        <w:rPr>
          <w:rFonts w:ascii="Times New Roman" w:cs="Times New Roman" w:eastAsia="Times New Roman" w:hAnsi="Times New Roman"/>
          <w:sz w:val="24"/>
          <w:szCs w:val="24"/>
        </w:rPr>
        <w:t xml:space="preserve">The fact that RVV residuals pass KPSS but fail ADF after linear detrending confirms that the linear trend removes the long-run structural level but not all persistent structure. A more flexible detrending (LOESS) would in principle resolve this residual non-stationarity. The LOESS sensitivity analysis (Section 5.5) demonstrates that LOESS does reduce the Naive_Median baseline substantially for RVV, consistent with reducing the residual non-stationarity. However, it simultaneously removes the climate signal required for rule induction — a direct empirical manifestation of the Decision 1 / Decision 2 trade-off formalised in Section 3.3.</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stationarity test results therefore serve as formal grounding for three methodological choices: (1) the decision to detrend rather than model raw production values; (2) the acknowledgement that linear detrending is imperfect for RVV and that some residual non-stationarity remains; and (3) the decision to retain linear detrending despite this imperfection, because the alternative (LOESS) resolves the non-stationarity at the cost of eliminating the climate signal that is the thesis's primary object of study.</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describes the full data pipeline — from raw meteorological archives to the curated annual feature datasets used for rule discovery and walk-forward prediction — together with the detrending methodology, algorithm descriptions, and evaluation protocol. Section 3.1 tells the complete data story: the sources, transformations, and decisions that shaped the final datasets. This pipeline was developed over an extended period of exploratory data analysis and represents a significant methodological contribution in its own right, as no equivalent phenology-anchored climate feature dataset existed for these two regions across the full 80–90 year time horizons.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Data Sources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datasets for both regions originate from two independent source streams that were prepared, cleaned, and ultimately joined at the annual level.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3.1.1 Meteorological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Daily meteorological records for the Douro region were sourced from the BCM base climate files maintained by the University of Porto's viticulture research group (Professor Mário Cunha). The raw files (BCM_base_RDD.xls, BCM_base_RVV.xls) contain one row per calendar day from 1933-01-01 to 2022-12-31 for RDD (32,842 daily records) and from 1941-01-01 to 2022-11-13 for RVV (29,902 daily records). Each daily record contains the following primary meteorological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1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Unit</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maximum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minimum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mean temperature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total rainfall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 (model-derived)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 (phenological model)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m²/m²</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Eto</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Reference evapotranspiration</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mm</w:t>
            </w:r>
          </w:p>
        </w:tc>
      </w:tr>
    </w:tbl>
    <w:p>
      <w:pPr>
        <w:spacing w:after="200" w:before="80"/>
        <w:jc w:val="center"/>
      </w:pPr>
      <w:r>
        <w:rPr>
          <w:rFonts w:ascii="Times New Roman" w:cs="Times New Roman" w:eastAsia="Times New Roman" w:hAnsi="Times New Roman"/>
          <w:i/>
          <w:iCs/>
          <w:sz w:val="20"/>
          <w:szCs w:val="20"/>
        </w:rPr>
        <w:t xml:space="preserve">Table 3.1. Primary daily meteorological variables in the raw source files.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soil water availability (Sm) and Leaf Area Index (Iaf) values are not direct measurements but model-derived estimates produced by the STICS vine growth model calibrated to each region's soil and vine characteristics by Professor Cunha's group over decades of field work. These modelled variables are critical for the analysis: Sm represents the balance between precipitation, evapotranspiration, and soil water-holding capacity integrated daily, while Iaf represents vine canopy development as a continuous daily estimate anchored to the vine's phenological state.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Stage 1 of the pipeline (script: 1_data_preparation_stage_1.R), the raw daily records were cleaned and five binary/threshold indicator variables were derived from the primary variables: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Derived indicator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R&gt;0.1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 &gt; 0.1 mm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 indicator (trace rainfall)</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Tmed&lt;15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Tmed &lt; 15°C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 — impairs flowering and fruit set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Tmax&gt;35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Tmax &gt; 35°C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 — causes flower abortion, accelerates ripening</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Tmin&lt;0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Tmin &lt; 0°C</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 — potential bud and shoot damage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Sm&lt;1.5Wp</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&lt; 1.5 × wilting point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Severe soil water stress — below vine survival threshold</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Sm&gt;0.9Fc</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Sm &gt; 0.9 × field capacity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Near-saturation — promotes disease, excessive vigour</w:t>
            </w:r>
          </w:p>
        </w:tc>
      </w:tr>
    </w:tbl>
    <w:p>
      <w:pPr>
        <w:spacing w:after="200" w:before="80"/>
        <w:jc w:val="center"/>
      </w:pPr>
      <w:r>
        <w:rPr>
          <w:rFonts w:ascii="Times New Roman" w:cs="Times New Roman" w:eastAsia="Times New Roman" w:hAnsi="Times New Roman"/>
          <w:i/>
          <w:iCs/>
          <w:sz w:val="20"/>
          <w:szCs w:val="20"/>
        </w:rPr>
        <w:t xml:space="preserve">Table 3.2. Binary threshold indicators derived from raw daily meteorological variables in Stage 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wilting point (Wp) and field capacity (Fc) thresholds used in the Sm indicators were set based on soil profile parameters calibrated for each region. The resulting Stage 1 output is a clean daily dataset with 17 columns per region (dataPrep_meteo_rdd.csv, dataPrep_meteo_rvv.csv) spanning the full time horizon.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3.1.2 Phenology and Production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Annual wine production records and vine phenological dates were sourced from the Pheno_Prd source files maintained by the same research group (Pheno_Prd_1933_2022_recente.xlsx for RDD; equivalent for RVV). Each annual record contains:</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tblGrid>
      <w:tr>
        <w:trPr>
          <w:tblHeader/>
        </w:trPr>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w:t>
            </w:r>
          </w:p>
        </w:tc>
        <w:tc>
          <w:tcPr>
            <w:tcW w:type="dxa" w:w="5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Description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Wine_mhl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regional wine production (thousands of hectolitres)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DOY_BB</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Bud Break — start of vegetative growth</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DOY_Fl</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Flowering — critical fruit-set window</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DOY_sM</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Start of Maturity (veraison) — berry ripening begins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DOY_Fs</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Fruit Set — end of berry cell division</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DOY_Hv</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 of Year of Harvest — end of growing season</w:t>
            </w:r>
          </w:p>
        </w:tc>
      </w:tr>
    </w:tbl>
    <w:p>
      <w:pPr>
        <w:spacing w:after="200" w:before="80"/>
        <w:jc w:val="center"/>
      </w:pPr>
      <w:r>
        <w:rPr>
          <w:rFonts w:ascii="Times New Roman" w:cs="Times New Roman" w:eastAsia="Times New Roman" w:hAnsi="Times New Roman"/>
          <w:i/>
          <w:iCs/>
          <w:sz w:val="20"/>
          <w:szCs w:val="20"/>
        </w:rPr>
        <w:t xml:space="preserve">Table 3.3. Annual phenology and production variables.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phenological dates (DOY_BB through DOY_Hv) are derived from the STICS phenological sub-model and represent the average calendar date of each key event across the regional vine population for each year. These dates vary by 2–4 weeks across years for each stage, reflecting the sensitivity of vine phenology to temperature — warmer springs advance flowering and harvest, cooler springs delay them. The variability in these anchor dates is what makes phenology-based windowing more informative than fixed calendar windows: a feature computed as "the 20 days before Harvest" adapts to the actual harvest date of each year rather than always covering, say, the first three weeks of September.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production series for RDD spans 1933–2022 (90 observations), but the feature construction starts at 1934 to allow for previous-year (y0) features — leaving 89 usable observations. For RVV, the series spans 1942–2021 with 80 usable observations. The production values show the structural trajectories described in Chapter 2: RDD production ranging from 518 to 1,961 mhl with a mean of 1,116 mhl and an upward trend; RVV production ranging from 494 to 3,443 mhl with a mean of 1,621 mhl and a sharp downward trend since the 1960s.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 Feature Engineering — From Daily Records to Annual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methodological contribution of the data pipeline is the transformation from 32,842 (RDD) and 29,902 (RVV) daily records into 59 annual agroclimatic features per region. This transformation is performed by script 2_ features creation.R and is anchored entirely on the phenological dates for each year. The logic is straightforward in principle but required extensive domain expertise and iterative refinement to implement correctly: for each year y1, each combination of (meteorological variable × phenological anchor × window position × window width × year offset) defines one feature.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3.2.1 Feature Naming Convention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59 features follow a systematic naming convention that encodes all relevant information about how the feature was computed:</w:t>
      </w:r>
    </w:p>
    <w:p>
      <w:pPr>
        <w:spacing w:after="80" w:before="80"/>
      </w:pPr>
      <w:r>
        <w:t xml:space="preserve"/>
      </w:r>
    </w:p>
    <w:p>
      <w:pPr>
        <w:spacing w:after="60" w:before="60"/>
        <w:ind w:left="720"/>
      </w:pPr>
      <w:r>
        <w:rPr>
          <w:rFonts w:ascii="Courier New" w:cs="Courier New" w:eastAsia="Courier New" w:hAnsi="Courier New"/>
          <w:sz w:val="20"/>
          <w:szCs w:val="20"/>
        </w:rPr>
        <w:t xml:space="preserve">{variable}_{stage}_{year}_{position}{width}</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w:t>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000"/>
      </w:tblGrid>
      <w:tr>
        <w:trPr>
          <w:tblHeader/>
        </w:trPr>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Component</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Options</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Meaning</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variable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 tn, swa, iaf, rf, days.rf, sw.less.15wp, sw.above.09fc, days.maxTemp.above.35, tm.days.less.15, days.minTemp.less.0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meteorological quantity being aggregated</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stage</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bb (Bud Break), fl (Flowering), sM (Start Maturity), hv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phenological anchor point for the window</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year</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y1 (current harvest year), y0 (previous year)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growing season the feature refers to</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position</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 (centred), b (before), a (after)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Whether the window is centred on, before, or after the stage date</w:t>
            </w:r>
          </w:p>
        </w:tc>
      </w:tr>
      <w:tr>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width</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10, 15, 20, 30 (days)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Half-width (centred) or full width (before/after) of the aggregation window</w:t>
            </w:r>
          </w:p>
        </w:tc>
      </w:tr>
    </w:tbl>
    <w:p>
      <w:pPr>
        <w:spacing w:after="200" w:before="80"/>
        <w:jc w:val="center"/>
      </w:pPr>
      <w:r>
        <w:rPr>
          <w:rFonts w:ascii="Times New Roman" w:cs="Times New Roman" w:eastAsia="Times New Roman" w:hAnsi="Times New Roman"/>
          <w:i/>
          <w:iCs/>
          <w:sz w:val="20"/>
          <w:szCs w:val="20"/>
        </w:rPr>
        <w:t xml:space="preserve">Table 3.4. Feature naming convention components.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example: swa_hv_y1_b20 = soil water availability (swa), in the 20 days BEFORE (b20) Harvest (hv), in the current year (y1). tm_fl_y0_b10 = mean temperature (tm), in the 10 days BEFORE (b10) Flowering (fl), in the PREVIOUS year (y0). iaf_fl_y1_a10 = Leaf Area Index (iaf), in the 10 days AFTER (a10) Flowering (fl),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choice of which (stage × position × width × year) combinations to include was guided by agronomic knowledge of the critical development windows established in the literature review (Chapter 2) and by exploratory correlation analysis against the response variable. Not all possible combinations were included: the final 59 features represent those with either strong a priori agronomic justification or demonstrated empirical correlation with production in at least one of the two regions.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3.2.2 Feature Groups and Counts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3.5 summarises the 59 features by variable family and their counts. The distribution reflects the relative importance of different variable types in the viticulture literature: temperature variables (tm, tn) are most numerous because temperature governs nearly every phenological process; soil water and LAI variables are next because they are the primary within-season stress indicators; rainfall and heat/cold day counts complete the picture.</w:t>
      </w:r>
    </w:p>
    <w:p>
      <w:pPr>
        <w:spacing w:after="8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700"/>
        <w:gridCol w:w="40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Variable family</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Symbol</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4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What it measures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daily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Average thermal conditions at key phenological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Leaf Area Index</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Vine canopy development — proxy for vegetative vigour</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deficit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sw.less.15wp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 when soil water &lt; 1.5× wilting point — severe stress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event count</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 of days with rainfall &gt; 1 mm — disease pressure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availability</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Absolute soil water balance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saturation days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 when soil water &gt; 90% field capacity — excess moisture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stress days (Tmax &gt; 35°C)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 / days.tempMax.above.35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Extreme heat events — flower abortion and thermal damage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sum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precipitation at harvest and flowering windows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(Tmed &lt; 15°C)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Cool days impairing pollination and fruit set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days (Tmin &lt; 0°C)</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days.minTemp.less.0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events — bud and shoot damage risk</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 temperature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Night temperature at harvest — berry quality proxy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water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y0 variants of swa/sw</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4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Carry-over water stress from prior season</w:t>
            </w:r>
          </w:p>
        </w:tc>
      </w:tr>
    </w:tbl>
    <w:p>
      <w:pPr>
        <w:spacing w:after="200" w:before="80"/>
        <w:jc w:val="center"/>
      </w:pPr>
      <w:r>
        <w:rPr>
          <w:rFonts w:ascii="Times New Roman" w:cs="Times New Roman" w:eastAsia="Times New Roman" w:hAnsi="Times New Roman"/>
          <w:i/>
          <w:iCs/>
          <w:sz w:val="20"/>
          <w:szCs w:val="20"/>
        </w:rPr>
        <w:t xml:space="preserve">Table 3.5. Feature groups, counts, and agronomic meanings. Total: 59 features per region.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3.2.3 Current-Year vs Previous-Year Features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key design decision in the feature engineering was the inclusion of previous-year (y0) features alongside current-year (y1) features. As discussed in Section 2.2, vine physiology has a two-year temporal structure: inflorescence primordia that determine current-year bunch number are formed in the prior growing season, and vine carbohydrate reserves that determine shoot vigour are accumulated during the prior year's harvest-to-dormancy period. Failing to include prior-year features would miss this carry-over mechanism entirely.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the final feature matrix, 15 of the 59 features (25%) use y0 (previous-year) anchors. The most agronomically motivated y0 features are: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tm_fl_y0_b10 </w:t>
      </w:r>
      <w:r>
        <w:rPr>
          <w:rFonts w:ascii="Times New Roman" w:cs="Times New Roman" w:eastAsia="Times New Roman" w:hAnsi="Times New Roman"/>
          <w:sz w:val="24"/>
          <w:szCs w:val="24"/>
        </w:rPr>
        <w:t xml:space="preserve">(mean temperature in the 10 days before previous-year flowering): captures the thermal conditions governing inflorescence primordia formation in the prior season — the mechanism that determines current-year bunch potential.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tm_bb_y0_a30 </w:t>
      </w:r>
      <w:r>
        <w:rPr>
          <w:rFonts w:ascii="Times New Roman" w:cs="Times New Roman" w:eastAsia="Times New Roman" w:hAnsi="Times New Roman"/>
          <w:sz w:val="24"/>
          <w:szCs w:val="24"/>
        </w:rPr>
        <w:t xml:space="preserve">(mean temperature in the 30 days after previous-year bud break): captures the early-season thermal conditions that initiate the prior year's vegetative growth phase, influencing vine carbohydrate allocation.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tm_sm_y0_a20 </w:t>
      </w:r>
      <w:r>
        <w:rPr>
          <w:rFonts w:ascii="Times New Roman" w:cs="Times New Roman" w:eastAsia="Times New Roman" w:hAnsi="Times New Roman"/>
          <w:sz w:val="24"/>
          <w:szCs w:val="24"/>
        </w:rPr>
        <w:t xml:space="preserve">(mean temperature in the 20 days after previous-year start of maturity): captures the heat load during the prior year's ripening phase, which governs both berry quality in the prior year and the vine's thermal stress exposure at the end of the growing season.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sw.above.09fc_fl_y0_a20 </w:t>
      </w:r>
      <w:r>
        <w:rPr>
          <w:rFonts w:ascii="Times New Roman" w:cs="Times New Roman" w:eastAsia="Times New Roman" w:hAnsi="Times New Roman"/>
          <w:sz w:val="24"/>
          <w:szCs w:val="24"/>
        </w:rPr>
        <w:t xml:space="preserve">(soil saturation days in the 20 days after previous-year flowering): captures prior-year excess soil moisture during flowering — the carry-over mechanism identified in RVV CarenR Rule 2 (see Section 4.1.2).</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3.2.4 Feature Discretisation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continuous feature matrix (dataPrep_cont_dataset_*.csv, 59 columns × 89/80 rows) is used directly by M5Rules and RIPPER, which perform their own internal threshold finding. For CarenR, a separate discretised version of the dataset (dataPrep_dis_rule_dataset_*.csv) is produced by script 2_ features creation.R using equal-frequency binning into four quartile intervals. Each feature is independently divided into four bins, each containing approximately 25% of the training observations, with the boundaries represented as interval notation (e.g. [18.3|22.4] for the bin from 18.3°C to 22.4°C).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equal-frequency choice, rather than equal-width or domain-knowledge-based breakpoints, ensures that each bin is populated by a comparable number of observations. This is important for the KS test used by CarenR: a bin with only two or three observations would produce an unreliable distributional comparison regardless of its meteorological significance. In the walk-forward scenarios, the bin boundaries are re-estimated within each training fold, ensuring that the discretisation reflects the distribution of climate conditions actually observed in the training period — not the full historical record that would be unknowable at prediction time.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Data Pipeline Summary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3.1 summarises the complete data pipeline from raw sources to the final modelling datasets. The pipeline was implemented as a sequence of seven R scripts coordinated by a master runner (run_all_pipelines.R), with all intermediate datasets written to disk at each stage to allow inspection and validation.</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2000"/>
        <w:gridCol w:w="3000"/>
      </w:tblGrid>
      <w:tr>
        <w:trPr>
          <w:tblHeader/>
        </w:trPr>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Script</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Input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Output</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Key transformation</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Raw data</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(external)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BCM_base*.xls
Pheno_Prd*.xlsx</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Daily climate + annual phenology/production from field stations and STICS model</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 — Daily prep</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1_data_preparation_stage_1.R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Raw Excel files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Column standardisation, binary threshold indicators (Tmax&gt;35, Sm&lt;1.5Wp etc.), date decomposition. 32,842 rows (RDD), 29,902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 — Feature engineering</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2_ features creation.R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dataPrep_meteo_*.csv
dataPrep_production_*.csv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
dataPrep_dis_rule_dataset_*.csv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Phenological window aggregation → 59 annual features per region. Equal-frequency discretisation (4 bins) for CarenR. 89 rows (RDD), 80 rows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 Rule discovery</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3_carenR__application.R
4_ripper_pipeline.R
5_m5rules_pipeline.R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RulesTemp_*_linear.csv
ripper_rules_*.txt
m5rules_rules_*.txt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Full-dataset rule induction for all three algorithms. CarenR: 48 rules (RDD), 20 rules (RVV).</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 Walk-forward validation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6_scenario_validation.R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dataPrep_cont_dataset_*.csv</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scenario_metrics_*.csv
scenario_predictions_*.csv
scenario_summary_*.csv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17-model × 18/16 scenario expanding-window evaluation. All preprocessing within fold.</w:t>
            </w:r>
          </w:p>
        </w:tc>
      </w:tr>
      <w:tr>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 Rule interpretation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9_rule_interpreter.R</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RulesTemp_*.csv
ripper_rules_*.txt
m5rules_rules_*.txt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rules_interpreted_*.txt/.csv
ripper_interpreted_*.txt
m5rules_interpreted_*.txt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Translation of raw rule outputs to plain-English descriptions with agronomic pathway annotations.</w:t>
            </w:r>
          </w:p>
        </w:tc>
      </w:tr>
    </w:tbl>
    <w:p>
      <w:pPr>
        <w:spacing w:after="200" w:before="80"/>
        <w:jc w:val="center"/>
      </w:pPr>
      <w:r>
        <w:rPr>
          <w:rFonts w:ascii="Times New Roman" w:cs="Times New Roman" w:eastAsia="Times New Roman" w:hAnsi="Times New Roman"/>
          <w:i/>
          <w:iCs/>
          <w:sz w:val="20"/>
          <w:szCs w:val="20"/>
        </w:rPr>
        <w:t xml:space="preserve">Table 3.6. Complete data pipeline from raw sources to final outputs. Each stage writes intermediate datasets to disk for auditability.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entire pipeline from Stage 1 through Stage 5 is reproducible by running run_all_pipelines.R, which sequences all scripts in order with consistent configuration parameters centralised in utils/config.R. Key configuration choices — detrend method (linear), CarenR support threshold (15%), significance threshold (p ≤ 0.10), minimum training fraction (80%), and feature selection strategy per variant — are documented in that file and were fixed before the final analysis run.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3.2.4 Autocorrelation Structure of the Residuals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Before designing the previous-year (y0) features described in Section 3.2.3, the autocorrelation structure of the linearly detrended residuals was examined to determine which lags carry statistically significant serial dependence. This analysis serves two purposes: (1) it provides empirical justification for including y0 features at lag 1 (i.e. features from the immediately preceding growing season), and (2) it reveals longer-period cyclical structure that informs the CarenR_Dist_Lag variant evaluated in Chapter 5.</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3.4 shows the Autocorrelation Function (ACF) and Partial Autocorrelation Function (PACF) of the linearly detrended production residuals for both regions, computed up to lag 12 years. The red dashed lines mark the 95% confidence interval (±1.96/√n: ±0.207 for RDD, ±0.218 for RVV). Bars exceeding the confidence bounds are coloured; bars within the bounds are grey.</w:t>
      </w:r>
    </w:p>
    <w:p>
      <w:pPr>
        <w:spacing w:after="80" w:before="80"/>
      </w:pPr>
      <w:r>
        <w:t xml:space="preserve"/>
      </w:r>
    </w:p>
    <w:p>
      <w:pPr>
        <w:spacing w:after="80" w:before="200"/>
        <w:jc w:val="center"/>
      </w:pPr>
      <w:r>
        <w:drawing>
          <wp:inline distT="0" distB="0" distL="0" distR="0">
            <wp:extent cx="4762500" cy="2562225"/>
            <wp:effectExtent t="0" r="0" b="0" l="0"/>
            <wp:docPr id="2" name="fig_autocorrelation.png" descr="fig_autocorrelation.png" title="fig_autocorre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762500" cy="25622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3.4. ACF and PACF of linearly detrended production residuals for both regions, up to lag 12 years. Coloured bars exceed the 95% confidence interval (red dashed lines). Lag 1 is not significant in either region. Lags 5–6 are significant in both regions.</w:t>
      </w:r>
    </w:p>
    <w:p>
      <w:pPr>
        <w:pStyle w:val="Heading3"/>
        <w:spacing w:after="120" w:before="240"/>
      </w:pPr>
      <w:r>
        <w:rPr>
          <w:rFonts w:ascii="Times New Roman" w:cs="Times New Roman" w:eastAsia="Times New Roman" w:hAnsi="Times New Roman"/>
          <w:i/>
          <w:iCs/>
          <w:sz w:val="24"/>
          <w:szCs w:val="24"/>
        </w:rPr>
        <w:t xml:space="preserve">Interpretation of ACF/PACF Results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 1 is not significant in either region. </w:t>
      </w:r>
      <w:r>
        <w:rPr>
          <w:rFonts w:ascii="Times New Roman" w:cs="Times New Roman" w:eastAsia="Times New Roman" w:hAnsi="Times New Roman"/>
          <w:sz w:val="24"/>
          <w:szCs w:val="24"/>
        </w:rPr>
        <w:t xml:space="preserve">The ACF and PACF at lag 1 are both below the 95% confidence threshold (RDD: ACF = +0.08, PACF = +0.04; RVV: ACF = +0.19, PACF = +0.02). This has an important implication for the prediction evaluation: the absence of significant lag-1 autocorrelation means that knowing last year's production does not reliably predict the current year's deviation from trend. This directly explains why the Naive "last value" baseline performs poorly compared to Naive_Median (Table 5.1: Naive 199 mhl vs Naive_Median 184 mhl for RDD), and why year-to-year persistence is not a useful prediction mechanism for this domain.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Lags 5–6 are significant in both regions. </w:t>
      </w:r>
      <w:r>
        <w:rPr>
          <w:rFonts w:ascii="Times New Roman" w:cs="Times New Roman" w:eastAsia="Times New Roman" w:hAnsi="Times New Roman"/>
          <w:sz w:val="24"/>
          <w:szCs w:val="24"/>
        </w:rPr>
        <w:t xml:space="preserve">The ACF shows significant positive autocorrelation at lag 5 for RDD (+0.22, exceeding the 95% bound) and at lags 5 and 6 for RVV (+0.30 and +0.24 respectively). The PACF confirms these as genuine direct dependencies rather than cascades from intermediate lags: the partial autocorrelation at lag 5 is +0.21 (RDD) and +0.26 (RVV). This 5–6 year cyclical structure is consistent with the production cycles identified by Cunha and Richter (2020) using time-frequency analysis — they reported a ~5.7 year dominant production cycle in the Douro linked to soil water and spring temperature oscillations. The PACF negative spike at lag 8–9 (RDD) is consistent with the half-period of this cycle appearing as an antiphasic component.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Implications for feature design. </w:t>
      </w:r>
      <w:r>
        <w:rPr>
          <w:rFonts w:ascii="Times New Roman" w:cs="Times New Roman" w:eastAsia="Times New Roman" w:hAnsi="Times New Roman"/>
          <w:sz w:val="24"/>
          <w:szCs w:val="24"/>
        </w:rPr>
        <w:t xml:space="preserve">The ACF analysis motivates two distinct feature families with different justifications. The y0 (lag-1) features — 15 of the 58 total features — are motivated by vine physiology: the carry-over mechanisms described in Section 3.2.3 operate at a 1-year lag through inflorescence primordia formation and carbohydrate reserve building. These effects are real despite lag-1 not appearing in the ACF, because they are encoded in specific phenological variables (temperature at flowering, soil water at harvest) rather than in the lagged production value itself. The 5–6 year cycle identified in the ACF motivated the CarenR_Dist_Lag variant, which augmented the base feature set with ACF-selected lag features. As reported in Section 5.8, this variant performs comparably to the simpler Pearson-selected variants (rank 5th in RDD, 8th in RVV), suggesting that the 5–6 year cycle, while statistically present in the residuals, does not translate into a reliably exploitable predictive signal when compared to the domain-knowledge-based y0 features.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3.1.3 Production Series — Visual Context</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Figures 3.1–3.3 provide visual context for the two production series, establishing the structural properties that motivate the methodological choices described in Sections 3.3 and 3.4. They are presented here to ground the reader in the data before the modelling pipeline is described.</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 xml:space="preserve">Annual Production with Linear Trend</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3.1 shows the full annual production series for both regions alongside their estimated linear trends (OLS). The contrasting structural trajectories are immediately apparent: the Douro increases from approximately 765 mhl in the 1930s to 1,392 mhl in the 2000s (+82%), while Vinho Verde declines from a peak of 2,331 mhl in the 1960s to 798 mhl in the 2010s (−66%). Both trends are highly statistically significant (RDD: +7.4 mhl/yr, p &lt; 0.001; RVV: −21.2 mhl/yr, p &lt; 0.001). The high inter-annual variability around the trend — visible in both series as large year-to-year swings — is what makes production forecasting difficult and motivates the need for models that can identify systematic climate patterns within this noise.</w:t>
      </w:r>
    </w:p>
    <w:p>
      <w:pPr>
        <w:spacing w:after="60" w:before="60"/>
      </w:pPr>
      <w:r>
        <w:t xml:space="preserve"/>
      </w:r>
    </w:p>
    <w:p>
      <w:pPr>
        <w:spacing w:after="80" w:before="200"/>
        <w:jc w:val="center"/>
      </w:pPr>
      <w:r>
        <w:drawing>
          <wp:inline distT="0" distB="0" distL="0" distR="0">
            <wp:extent cx="4762500" cy="1704975"/>
            <wp:effectExtent t="0" r="0" b="0" l="0"/>
            <wp:docPr id="3" name="fig_production_series.png" descr="fig_production_series.png" title="fig_production_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762500" cy="170497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3.1. Annual wine production for Douro (RDD, left) and Vinho Verde (RVV, right), 1934–2022 and 1942–2021 respectively. Red dashed line = OLS linear trend. Grey dotted line = series mean. Both trends are statistically significant (p &lt; 0.001).</w:t>
      </w:r>
    </w:p>
    <w:p>
      <w:pPr>
        <w:pStyle w:val="Heading3"/>
        <w:spacing w:after="120" w:before="240"/>
      </w:pPr>
      <w:r>
        <w:rPr>
          <w:rFonts w:ascii="Times New Roman" w:cs="Times New Roman" w:eastAsia="Times New Roman" w:hAnsi="Times New Roman"/>
          <w:i/>
          <w:iCs/>
          <w:sz w:val="24"/>
          <w:szCs w:val="24"/>
        </w:rPr>
        <w:t xml:space="preserve">Decade-Level Mean Production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3.2 aggregates the annual series into decade-level means for both regions. The decade averages make the structural stories more legible: the Douro's gradual increase is concentrated in the 1950s–60s and 2000s, with a plateau emerging in the 2010s–2020s as the Douro DOC expansion matured. Vinho Verde's decline is concentrated in the 1980s–2000s — precisely coinciding with EU accession (1986) and the subsequent structural reforms. The two regions converge toward similar production levels in the 1990s (RDD ~1,271 mhl, RVV ~1,259 mhl) for the first and only time in the dataset, before diverging again as the Douro continued growing and RVV continued declining. This convergence point reflects the equal weighting the two series receive in the cross-regional analysis in Chapter 5.</w:t>
      </w:r>
    </w:p>
    <w:p>
      <w:pPr>
        <w:spacing w:after="60" w:before="60"/>
      </w:pPr>
      <w:r>
        <w:t xml:space="preserve"/>
      </w:r>
    </w:p>
    <w:p>
      <w:pPr>
        <w:spacing w:after="80" w:before="200"/>
        <w:jc w:val="center"/>
      </w:pPr>
      <w:r>
        <w:drawing>
          <wp:inline distT="0" distB="0" distL="0" distR="0">
            <wp:extent cx="4762500" cy="1981200"/>
            <wp:effectExtent t="0" r="0" b="0" l="0"/>
            <wp:docPr id="4" name="fig_decade_averages.png" descr="fig_decade_averages.png" title="fig_decade_aver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3.2. Decade-level mean wine production for both regions. The structural trajectories are opposite in direction and concentrated in different periods: Douro growth in the 1950s–2000s; Vinho Verde decline in the 1980s–2000s.</w:t>
      </w:r>
    </w:p>
    <w:p>
      <w:pPr>
        <w:pStyle w:val="Heading3"/>
        <w:spacing w:after="120" w:before="240"/>
      </w:pPr>
      <w:r>
        <w:rPr>
          <w:rFonts w:ascii="Times New Roman" w:cs="Times New Roman" w:eastAsia="Times New Roman" w:hAnsi="Times New Roman"/>
          <w:i/>
          <w:iCs/>
          <w:sz w:val="24"/>
          <w:szCs w:val="24"/>
        </w:rPr>
        <w:t xml:space="preserve">Linearly Detrended Residuals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3.3 shows the production residuals after removing the linear trend from each series. Blue bars (RDD) and green bars (RVV) represent above-trend years; red bars represent below-trend years. For RDD, the residuals appear visually stationary — oscillating around zero without obvious additional drift — consistent with the ADF test result (p &lt; 0.001, Section 3.3.1). For RVV, the residuals show some remaining low-frequency structure: positive residuals are more common in the earlier decades (1940s–1970s) and negative residuals more common from the 1990s onward, confirming the ADF test finding that the linear trend does not fully capture the RVV structural break. The standard deviation of the RDD residuals is ±239 mhl; for RVV it is ±561 mhl — more than twice as large. This 2.3× difference in residual variability between the regions has a direct bearing on the prediction task: a model operating on RVV residuals must overcome substantially more noise to beat the naive baseline.</w:t>
      </w:r>
    </w:p>
    <w:p>
      <w:pPr>
        <w:spacing w:after="60" w:before="60"/>
      </w:pPr>
      <w:r>
        <w:t xml:space="preserve"/>
      </w:r>
    </w:p>
    <w:p>
      <w:pPr>
        <w:spacing w:after="80" w:before="200"/>
        <w:jc w:val="center"/>
      </w:pPr>
      <w:r>
        <w:drawing>
          <wp:inline distT="0" distB="0" distL="0" distR="0">
            <wp:extent cx="4762500" cy="1533525"/>
            <wp:effectExtent t="0" r="0" b="0" l="0"/>
            <wp:docPr id="5" name="fig_residuals.png" descr="fig_residuals.png" title="fig_residu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762500" cy="15335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3.3. Linearly detrended production residuals for both regions. Blue/green = above-trend years; red = below-trend years. Dashed lines = ±1 SD. RVV residuals (SD = ±561 mhl) are more than twice as variable as RDD residuals (SD = ±239 mhl), and retain visible low-frequency drift indicating that linear detrending is only partially effective for RVV.</w:t>
      </w:r>
    </w:p>
    <w:p>
      <w:pPr>
        <w:pageBreakBefore w:val="1"/>
      </w:pPr>
    </w:p>
    <w:p>
      <w:pPr>
        <w:pStyle w:val="Heading1"/>
        <w:spacing w:after="180" w:before="360"/>
      </w:pPr>
      <w:r>
        <w:rPr>
          <w:rFonts w:ascii="Times New Roman" w:cs="Times New Roman" w:eastAsia="Times New Roman" w:hAnsi="Times New Roman"/>
          <w:b/>
          <w:bCs/>
          <w:sz w:val="28"/>
          <w:szCs w:val="28"/>
        </w:rPr>
        <w:t xml:space="preserve">4. Goal 1 — Rule Extraction Results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reports the output of the three rule-learning algorithms applied to the full historical datasets. The primary evaluation question for Goal 1 is: does CarenR's distributional subgroup discovery extract statistically validated, non-trivial patterns from the data? Subsidiary questions are: do RIPPER and M5Rules converge on the same variables through different optimisation criteria? And are the discovered patterns genuine within-era signal or era-membership artefacts? Section 4.1 presents the CarenR rules; Section 4.2 validates them using LOESS detrending; Sections 4.3–4.4 present RIPPER and M5Rules; Sections 4.5–4.8 provide cross-algorithm comparison, feature frequency, and rule set structure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4.1 CarenR — Distributional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After applying the significance threshold (KS p ≤ 0.10) and minimum support filter (≥ 15% of training observations), CarenR retained 48 rules for RDD and 20 rules for RVV. Tables 4.1 and 4.2 show the ten most significant rules per region. For each rule, the table records the statistical evidence (p-value, support), the magnitude of the discovered distributional shift (mean deviation from trend), and the conditions that define the subgroup. One sentence of domain context is provided per rule to confirm that the direction of the discovered pattern is consistent with established knowledge — serving as a face-validity check on the method's output rather than as a primary finding.</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4.1.1 Douro (RDD) —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0.0043</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Dry post-flowering conditions are known to reduce disease pressure and promote fruit set in the Douro.</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[0.74–0.88 m²/m²]
AND Soil water post-Flowering [390–404 mm]</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Elevated canopy vigour combined with high soil moisture at flowering is associated with vegetative-over-reproductive growth.</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Wet days post-Maturity [0–3.5d]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0.0089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Refines Rule 1: dry and thermally moderate post-flowering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[74–101 mm]
AND Wet days post-Harvest prev.yr [0–2.3d]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0.0095</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Multi-year rule: moderate current-year soil water stress combined with a dry previous-year post-harvest window — captures a carry-over vine reserve mechanism.</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24.7%</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0.0110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Dry flowering with bounded pre-veraison heat — the "warm but not extreme"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0.0120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Three-condition refinement of the dry-and-moderate-heat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0.0130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Combines post-flowering dryness with moderate pre-harvest soil water — two independent dryness signals.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[101–152 mm]
AND Wet days post-Maturity [0–3.5d]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0.0140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Mid-range harvest soil water combined with dry post-flowering and post-maturity windows.</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[74–231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23.6%</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0.0150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Four-condition rule combining all three primary signals — narrowest statistically valid subgroup.</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[0–3.3d]
AND Soil water pre-Harvest [101–231 mm]
AND Heat days pre-Maturity [0–3.7d]
AND Heat days post-Flowering [0–0.6d]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0.0160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9 with wider soil water range.</w:t>
            </w:r>
          </w:p>
        </w:tc>
      </w:tr>
    </w:tbl>
    <w:p>
      <w:pPr>
        <w:spacing w:after="200" w:before="80"/>
        <w:jc w:val="center"/>
      </w:pPr>
      <w:r>
        <w:rPr>
          <w:rFonts w:ascii="Times New Roman" w:cs="Times New Roman" w:eastAsia="Times New Roman" w:hAnsi="Times New Roman"/>
          <w:i/>
          <w:iCs/>
          <w:sz w:val="20"/>
          <w:szCs w:val="20"/>
        </w:rPr>
        <w:t xml:space="preserve">Table 4.1. Top 10 CarenR rules for the Douro region (RDD), sorted by KS p-value. Mean Δ = mean residual of matching observations relative to the detrended trend. Domain consistency column confirms directional face validity; it is not a primary result.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Key structural observations from the RDD rule set: (1) 46 of 48 rules point to ABOVE-trend production — an asymmetry that reflects the algorithm's finding that the positive signal in this dataset is structurally more consistent than the negative signal; the two below-trend rules (Rules 2 and 48) require an unusual combination of high LAI with high soil moisture that occurs in approximately 20% of years. (2) The rule set is organised around three recurring features — post-flowering wet days, pre-harvest soil water, and heat-stress day counts — with later rules being refinements of earlier ones through additional conditions. (3) The most significant rule (Rule 1) has support of 28.1% — covering approximately one in four years in the historical record — confirming it describes a recurrent rather than exceptional pattern.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4.1.2 Vinho Verde (RVV) — Top 10 Rules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600"/>
        <w:gridCol w:w="900"/>
        <w:gridCol w:w="900"/>
        <w:gridCol w:w="800"/>
        <w:gridCol w:w="2900"/>
      </w:tblGrid>
      <w:tr>
        <w:trPr>
          <w:tblHeader/>
        </w:trPr>
        <w:tc>
          <w:tcPr>
            <w:tcW w:type="dxa" w:w="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Δ (mhl)</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Domain consistency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pre-Maturity [0–1.9d]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0.0198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 soil water deficit combined with absence of heat stress — in the Atlantic RVV climate this is a cool-moist pattern, not a beneficial stress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at Flowering [13.8–17.1°C]
AND Temp post-Flowering [12.6–17.5°C]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0.0216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Cool flowering combined with previous-year soil saturation — a two-year carry-over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[143–234 mm]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0.0294</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Highest-support below-trend rule: moist post-flowering with low heat at maturity.</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post-Budburst prev.yr [11.2–13.5°C]
AND Cold days at Flowering [0–3.4d]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 ONLY ABOVE-TREND RULE: warm-but-not-extreme previous-year budburst combined with mild current-year flowering. Largest absolute deviation in either region (+311 mhl).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 post-Flowering [12.6–17.5°C]
AND Heat days post-Maturity [0–2.4d]
AND Wet-soil days post-Flowering prev.yr [17.5–20d]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23.8%</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0.0299</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Combines cool post-flowering temperature with previous-year soil saturation carry-over.</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[0–1.3d]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Introduces the LAI at harvest variable: moderate-to-high canopy combined with post-flowering rainfall.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post-Flowering (20d)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0.0356</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Near-identical to Rule 6 with a slightly wider heat-stress window.</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pre-Flowering prev.yr [2.16–2.21 m²/m²]
AND Heat days pre-Maturity [0–1.9d]
AND Heat days post-Maturity [0–2.4d]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0.0357</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LAI at flowering as a predictor — carry-over canopy signal.</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Rainfall post-Flowering [20.7–121 mm]
AND LAI at Harvest [1.29–2.52 m²/m²]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0.0370</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Four-condition variant of the rainfall + LAI + low-heat pattern.</w:t>
            </w:r>
          </w:p>
        </w:tc>
      </w:tr>
      <w:tr>
        <w:tc>
          <w:tcPr>
            <w:tcW w:type="dxa" w:w="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[61–97 mm]
AND Heat days post-Maturity [0–2.4d]
AND Heat days post-Flowering [0–1.1d]</w:t>
            </w:r>
          </w:p>
        </w:tc>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w:t>
            </w:r>
          </w:p>
        </w:tc>
        <w:tc>
          <w:tcPr>
            <w:tcW w:type="dxa" w:w="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0.0401</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Variant of Rule 1 with different heat-stress window combination.</w:t>
            </w:r>
          </w:p>
        </w:tc>
      </w:tr>
    </w:tbl>
    <w:p>
      <w:pPr>
        <w:spacing w:after="200" w:before="80"/>
        <w:jc w:val="center"/>
      </w:pPr>
      <w:r>
        <w:rPr>
          <w:rFonts w:ascii="Times New Roman" w:cs="Times New Roman" w:eastAsia="Times New Roman" w:hAnsi="Times New Roman"/>
          <w:i/>
          <w:iCs/>
          <w:sz w:val="20"/>
          <w:szCs w:val="20"/>
        </w:rPr>
        <w:t xml:space="preserve">Table 4.2. Top 10 CarenR rules for the Vinho Verde region (RVV). Rule 4 is the only above-trend rule in the entire 20-rule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Key structural observations from the RVV rule set: (1) 19 of 20 rules point to BELOW-trend production — the inverse asymmetry from RDD. In a declining series, the majority of historically exceptional subgroups are years that fall below the already-declining trend. (2) Rule 4 (the sole above-trend rule, +311 mhl, support 25%) represents the largest absolute distributional shift in either region — CarenR has identified a well-defined subgroup corresponding to the best RVV vintages. (3) The LAI at harvest variable (iaf_hv_y1_c10) appears in rules 6, 7, 9, and 12 but is absent from rules 1–5. Its delayed appearance (lower significance rank) despite its structural dominance across all 20 rules reflects that it tends to combine with other variables rather than appearing as a single strong condition in the most significant rules. This is a property of the KS-test-based induction: LAI produces a distributional shift that is amplified by conditioning on additional variables.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4.1.3 The Directional Inversion — A Method Validation Point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same feature — soil water at harvest (swa_hv_y1_b20) — is selected as the dominant variable in both regions but with opposite distributional direction: moderate deficit predicts above-trend in RDD, the same variable range predicts below-trend in RVV. This is a meaningful test of the method's sensitivity: CarenR correctly detects that the same variable can carry opposite distributional signals in different contexts. A classification algorithm trained on both regions together would conflate these opposite effects; CarenR, operating independently on each dataset, identifies the correct regional direction without any cross-region information. The domain explanation (different baseline climates) validates the finding but is secondary — the primary observation is that the KS-based framework correctly detects region-specific distributional structure.</w:t>
      </w:r>
    </w:p>
    <w:p>
      <w:pPr>
        <w:spacing w:after="80" w:before="8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300"/>
        <w:gridCol w:w="1200"/>
        <w:gridCol w:w="1500"/>
        <w:gridCol w:w="1300"/>
        <w:gridCol w:w="12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Δ</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bin range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direction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Δ</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(soil water at harvest)</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74–231 mm
(moderate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+192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61–97 mm
(pronounced deficit)</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−338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 days
(very dry)</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ABOVE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+108 to +121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20–121 mm rainfall
(moderate wetness)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 mhl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harvest
(iaf_hv_y1_c10)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Absent from top rules
(minor signal in RDD)</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
(where it appears)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 to −131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signal
(all 20 rules)</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BELOW trend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−268 to −387 mhl</w:t>
            </w:r>
          </w:p>
        </w:tc>
      </w:tr>
    </w:tbl>
    <w:p>
      <w:pPr>
        <w:spacing w:after="200" w:before="80"/>
        <w:jc w:val="center"/>
      </w:pPr>
      <w:r>
        <w:rPr>
          <w:rFonts w:ascii="Times New Roman" w:cs="Times New Roman" w:eastAsia="Times New Roman" w:hAnsi="Times New Roman"/>
          <w:i/>
          <w:iCs/>
          <w:sz w:val="20"/>
          <w:szCs w:val="20"/>
        </w:rPr>
        <w:t xml:space="preserve">Table 4.3. Cross-regional feature direction comparison. The inversion of swa_hv_y1_b20 across regions tests and confirms CarenR's ability to detect region-specific distributional structure independently.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4.2 LOESS Validation — Distinguishing Signal from Era Artefact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rule set is whether the discovered patterns reflect genuine inter-annual variation or merely co-variation with the long-run structural trend (era membership). If a feature co-trends with production over decades, it will appear informative under linear detrending even if it has no true predictive relationship with production residuals. LOESS detrending with span = 0.40 provides a strong test: it removes the era-level trend far more aggressively than linear detrending, leaving only within-era residuals. If a feature's correlation with the response drops sharply under LOESS, the linear-detrend correlation was driven by era co-variation. If it is preserved, the feature carries genuine within-era signal.</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100"/>
        <w:gridCol w:w="1200"/>
        <w:gridCol w:w="33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Linear |r|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LOESS |r|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retained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within-era signal — preserved after era removal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 (wet days post-flowering)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 consistent across both detrend methods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 RVV)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 dominant RVV driver confirmed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temperature, RDD)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56%</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CAUTION — significant era inflation; warming trend co-varies with production increase</w:t>
            </w:r>
          </w:p>
        </w:tc>
      </w:tr>
    </w:tbl>
    <w:p>
      <w:pPr>
        <w:spacing w:after="200" w:before="80"/>
        <w:jc w:val="center"/>
      </w:pPr>
      <w:r>
        <w:rPr>
          <w:rFonts w:ascii="Times New Roman" w:cs="Times New Roman" w:eastAsia="Times New Roman" w:hAnsi="Times New Roman"/>
          <w:i/>
          <w:iCs/>
          <w:sz w:val="20"/>
          <w:szCs w:val="20"/>
        </w:rPr>
        <w:t xml:space="preserve">Table 4.4. LOESS validation of top CarenR features. Features with &gt;85% correlation retained are assessed as genuine within-era signals. Harvest temperature shows significant era inflation.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top features selected by CarenR retain 90–92% of their correlation after aggressive era-trend removal, confirming that the discovered rules are not predominantly era-membership proxies. The important exception is harvest temperature (tm_hv_y1_c10): while it is the strongest raw correlate with RDD production (r = +0.39), its LOESS-adjusted correlation drops to ~0.22 — only 56% retained. This indicates substantial era inflation: as the Douro warmed over the study period, harvest temperatures increased alongside the structural production increase, creating a spurious correlation. The fact that harvest temperature is not among CarenR's top rule features — which focus on soil water and rainfall — is consistent with this LOESS finding. The KS-test criterion, which operates on discretised values within training folds, appears to be less susceptible to smooth era-co-trending than simple correlation.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4.3 RIPPER Classification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was applied to tertile-discretised production classes. CV accuracy: 42% RDD, 35% RVV (33% random baseline; κ = 0.06–0.19). Tables 4.5 and 4.6 show the rule lists. The primary evaluation question for RIPPER in this study is convergence with CarenR: do the features selected by an entirely different optimisation criterion (information gain for class separation vs KS distributional shift) point to the same variables?</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Harvest (10d before) in [21.2–22.8°C]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 (19yr)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Budburst ≥ 0.0016
AND Mean temp at Harvest (20d before) ≥ 23.1°C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 (17yr)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3
AND Mean temp at Harvest ≤ 21.3°C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6.7% (6yr)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100%</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4.5. RIPPER rules for RDD. CV accuracy 42%.</w:t>
      </w:r>
    </w:p>
    <w:p>
      <w:pPr>
        <w:spacing w:after="80" w:before="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100"/>
        <w:gridCol w:w="1200"/>
        <w:gridCol w:w="11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t>
            </w:r>
          </w:p>
        </w:tc>
        <w:tc>
          <w:tcPr>
            <w:tcW w:type="dxa" w:w="3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Conditions</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Support</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Precision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1</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Flowering prev.yr ≥ 2.4
AND Budburst temp prev.yr ≥ 13.3°C
AND Rainfall at Flowering ≤ 15.9 mm</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 (13yr)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2</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temp at Flowering ≥ 19.3°C
AND LAI at Flowering ≥ 2.2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MEDIUM</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11.2% (9yr)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88.9%</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3</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 123.6 mm
AND Mean temp at Flowering ≥ 16.6°C</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26.2% (21yr)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85.7%</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4</w:t>
            </w:r>
          </w:p>
        </w:tc>
        <w:tc>
          <w:tcPr>
            <w:tcW w:type="dxa" w:w="3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4.6. RIPPER rules for RVV. CV accuracy 35%.</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selects harvest temperature (RDD Rules 1–3), LAI at budburst and flowering (RDD Rule 2, RVV Rules 1–2), and soil water / rainfall at flowering (RVV Rules 1, 3) — all within the same variable families identified by CarenR. This cross-algorithm convergence under a classification-based criterion is the key finding: the same variables are deemed informative whether the task is formulated as "find distributional shift" (CarenR) or "find class-separating thresholds" (RIPPER), supporting the interpretation that these variables carry genuine structure in the data.</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4.4 M5Rules — Piecewise Linear Models and Coefficient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M5Rules collapsed to global linear models in both regions (no beneficial split found at minimum leaf size 4), producing 2 rules for RDD and 3 for RVV. CV R² = 0.004 (RDD), −0.07 (RVV) — confirming overfitting. The evaluation question for M5Rules is again convergence: do the regression coefficients of an MSE-minimising linear model point to the same variables, and in the same directions, as the KS-based distributional rules?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Coefficient (RDD Rule 2 — default model)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tm_fl_y1_b10 (pre-flowering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 warmer flowering → above trend in CarenR Rules 5–10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Each 1°C increase in pre-flowering temperature adds ~66 mhl; quantifies the warming-flowering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tm_bb_y0_a30 (prev-yr budburst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−97.6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Carry-over — not a top CarenR rule feature but directionally consistent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Warm prior-year budburst depletes vine reserves; M5Rules quantifies the effect at −98 mhl/°C</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−38.5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RVV multi-year pattern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Prior-year heat during ripening reduces current production — documented in M5Rules RVV and RIPPER RVV Rule 3</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DIRECTLY CONFIRMS CarenR Rule 1 direction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the CarenR distributional finding: each additional mm of harvest soil water removes ~2.3 mhl</w:t>
            </w:r>
          </w:p>
        </w:tc>
      </w:tr>
    </w:tbl>
    <w:p>
      <w:pPr>
        <w:spacing w:after="200" w:before="80"/>
        <w:jc w:val="center"/>
      </w:pPr>
      <w:r>
        <w:rPr>
          <w:rFonts w:ascii="Times New Roman" w:cs="Times New Roman" w:eastAsia="Times New Roman" w:hAnsi="Times New Roman"/>
          <w:i/>
          <w:iCs/>
          <w:sz w:val="20"/>
          <w:szCs w:val="20"/>
        </w:rPr>
        <w:t xml:space="preserve">Table 4.7. M5Rules RDD dominant model coefficients mapped to CarenR findings. The swa_hv_y1_b20 coefficient directly quantifies the distributional shift identified by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swa_hv_y1_b20 coefficient (−2.3 mhl/mm) is particularly informative: it quantifies the effect that CarenR describes distributionally. CarenR says "years with harvest soil water in [74–101 mm] have a significantly shifted production distribution (+121–192 mhl above trend)." M5Rules says "each additional mm of harvest soil water reduces production by 2.3 mhl linearly." The two descriptions are consistent: a 100 mm difference in harvest soil water corresponds to a 230 mhl difference in the M5Rules prediction, which aligns with CarenR's +121–192 mhl rule deviations. The regression and distributional approaches are detecting the same underlying structure through different mathematical lenses.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2200"/>
        <w:gridCol w:w="3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Coefficient (RVV Rule 1 — high soil water subgroup)</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Value</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 vs CarenR</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 per °C</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with CarenR Rule 4 (warm budburst → above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Prior-year summer heat builds vine inflorescence potential; +17 mhl/°C quantifies the reserve-building benefit</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(post-flowering soil water)</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−8.1 per mm</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DIRECTLY CONFIRMS CarenR Rules 3,16,19 (high post-fl soil water → below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Quantifies RVV moist post-flowering effect: each additional mm subtracts ~8 mhl</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 (LAI at budburst)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−2064 per unit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Consistent — high LAI direction matches CarenR's RVV dominant signal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Very large coefficient: each unit increase in budburst LAI removes ~2064 mhl; confirms LAI family importance</w:t>
            </w:r>
          </w:p>
        </w:tc>
      </w:tr>
    </w:tbl>
    <w:p>
      <w:pPr>
        <w:spacing w:after="200" w:before="80"/>
        <w:jc w:val="center"/>
      </w:pPr>
      <w:r>
        <w:rPr>
          <w:rFonts w:ascii="Times New Roman" w:cs="Times New Roman" w:eastAsia="Times New Roman" w:hAnsi="Times New Roman"/>
          <w:i/>
          <w:iCs/>
          <w:sz w:val="20"/>
          <w:szCs w:val="20"/>
        </w:rPr>
        <w:t xml:space="preserve">Table 4.8. M5Rules RVV Rule 1 coefficients mapped to CarenR findings.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4.5 Cross-Algorithm Feature Agreement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4.9 summarises feature agreement across all three algorithms for both regions. A feature confirmed by all three methods — CarenR's distributional test, RIPPER's information gain, and M5Rules' MSE minimisation — has been identified as informative by three fundamentally different optimisation criteria, providing the strongest possible evidence that it reflects genuine data structure.</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900"/>
        <w:gridCol w:w="17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methods
agree</w:t>
            </w:r>
          </w:p>
        </w:tc>
        <w:tc>
          <w:tcPr>
            <w:tcW w:type="dxa" w:w="1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Confidence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54% of RDD rules
✓ 25% of RVV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−2.3/mm RDD
✓ −8.1/mm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family (iaf_hv, iaf_fl, iaf_bb)</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All 20 RVV rules
✓ Minor RDD signal</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Rules 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−2064/unit RVV
✓ Differential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universal</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carry-over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RVV Rule 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+17.2/°C RVV</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RVV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(days.rf.above.1mm_fl)</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21% of RDD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RIPPER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Not in M5Rules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 CarenR specific</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 (flowering temp)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Rules 5–10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+66.4/°C RDD</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 RDD focus</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RDD Rule 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M5Rules coeff.</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w:t>
            </w:r>
          </w:p>
        </w:tc>
        <w:tc>
          <w:tcPr>
            <w:tcW w:type="dxa" w:w="1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 — carry-over</w:t>
            </w:r>
          </w:p>
        </w:tc>
      </w:tr>
    </w:tbl>
    <w:p>
      <w:pPr>
        <w:spacing w:after="200" w:before="80"/>
        <w:jc w:val="center"/>
      </w:pPr>
      <w:r>
        <w:rPr>
          <w:rFonts w:ascii="Times New Roman" w:cs="Times New Roman" w:eastAsia="Times New Roman" w:hAnsi="Times New Roman"/>
          <w:i/>
          <w:iCs/>
          <w:sz w:val="20"/>
          <w:szCs w:val="20"/>
        </w:rPr>
        <w:t xml:space="preserve">Table 4.9. Cross-algorithm feature agreement. Features confirmed by 3/3 methods are the most robust findings; 1/3 features are specific to one method's optimisation criterion.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three features confirmed by all three methods — harvest soil water, the LAI family, and previous-year summer temperature — represent the most robust data science findings of Goal 1: they are informative under distributional shift detection, class separation, and MSE minimisation simultaneously. The wet-days post-flowering variable, which is among the most frequent CarenR features (21% of RDD rules), is not selected by RIPPER or M5Rules. This is a consequence of the different optimisation criteria: wet-days post-flowering shifts the production distribution reliably but does not produce a clean class boundary (RIPPER) or reduce regression MSE sufficiently (M5Rules). It is exactly the type of signal that distributional subgroup discovery is designed to detect and that classification and regression methods systematically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4.6 Feature Frequency Analysis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Counting how frequently each feature variable appears across all rule conditions — regardless of bin interval — reveals the structural importance of each variable to CarenR's induction. Table 4.10 shows the top features by frequency.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0"/>
        <w:gridCol w:w="33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appearances
(of 133 total)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48 rules</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 in rule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backbone — present in majority of rules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Second backbone — post-maturity dryness signal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Thermal moderation — absent extreme heat at flowering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Pre-veraison heat moderation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Wider window variant of rank 3</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dryness — RIPPER and M5Rules do not select this</w:t>
            </w:r>
          </w:p>
        </w:tc>
      </w:tr>
    </w:tbl>
    <w:p>
      <w:pPr>
        <w:spacing w:after="200" w:before="80"/>
        <w:jc w:val="center"/>
      </w:pPr>
      <w:r>
        <w:rPr>
          <w:rFonts w:ascii="Times New Roman" w:cs="Times New Roman" w:eastAsia="Times New Roman" w:hAnsi="Times New Roman"/>
          <w:i/>
          <w:iCs/>
          <w:sz w:val="20"/>
          <w:szCs w:val="20"/>
        </w:rPr>
        <w:t xml:space="preserve">Table 4.10. Top 6 features by condition frequency across all 48 RDD CarenR rules.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500"/>
        <w:gridCol w:w="1200"/>
        <w:gridCol w:w="33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appearances
(of 65 total)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20 rules</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Role in rule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Dominant backbone — low heat post-veraison characterises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Pre-veraison heat absence — second backbone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heat absence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variable as RDD rank 1 — opposite direction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cool Atlantic climate signal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saturation — carry-over signal</w:t>
            </w:r>
          </w:p>
        </w:tc>
      </w:tr>
    </w:tbl>
    <w:p>
      <w:pPr>
        <w:spacing w:after="200" w:before="80"/>
        <w:jc w:val="center"/>
      </w:pPr>
      <w:r>
        <w:rPr>
          <w:rFonts w:ascii="Times New Roman" w:cs="Times New Roman" w:eastAsia="Times New Roman" w:hAnsi="Times New Roman"/>
          <w:i/>
          <w:iCs/>
          <w:sz w:val="20"/>
          <w:szCs w:val="20"/>
        </w:rPr>
        <w:t xml:space="preserve">Table 4.11. Top 6 features by condition frequency across all 20 RVV CarenR rules.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4.7 Rule Set Structure — Overlap and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Of the 1,128 unique rule pairs in the 48-rule RDD set, 730 (64.7%) share at least one feature variable. This high overlap is structurally expected: when a small number of features (Table 4.10 shows the top 6 account for the majority of appearances), many rules will share backbone conditions. The overlap is informative rather than redundant: rules that share one backbone condition but differ in their second condition describe different sub-regimes within the same broad pattern, providing a richer characterisation than any single rule alone. Of the 48 RDD rules, 44 (92%) contain at least one condition-bin combination unique to that rule, confirming that the set is not simply multiple copies of the same subgroup. The RVV set (20 rules) shows higher structural redundancy — 9 of 20 rules (45%) are subsets of another rule — reflecting that CarenR is detecting multiple window-width variants of the same core pattern (low heat + high soil moisture → below trend) rather than discovering genuinely distinct subgroups.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4.8 Summary — Goal 1 Assessment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1 is assessed as achieved. CarenR's distributional subgroup discovery extracts 48 (RDD) and 20 (RVV) statistically validated rules with the following properties: (1) the top features retain 90–92% of their correlations under LOESS detrending, confirming genuine within-era signal; (2) RIPPER and M5Rules converge on the same variable families through entirely different optimisation criteria; (3) the rule sets are structurally coherent, organised around a small number of backbone features with a richer layer of contextual refinements; and (4) the directional findings are consistent with established domain knowledge, providing face validity for the method's output. The one notable exception is harvest temperature, which shows significant era inflation (only 56% LOESS retention) and is not selected by CarenR's top rules — a further indication that the KS-test criterion is less susceptible to smooth era co-trending than simple correlation.</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4. Goal 1 — Agroclimatic Rule Discovery (Supplement: Feature Frequency and Rule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4.7 and 4.8 — the feature frequency analysis and rule overlap evaluation — to be inserted after Section 4.6 in the main Chapter 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4.7 Feature Frequency Analysis — What CarenR Selects Most Often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48 RDD rules together contain 133 individual condition-feature appearances (some rules have 2 conditions, others 3–4). The 20 RVV rules contain 65 condition-feature appearances. Counting how frequently each feature variable appears across all conditions — regardless of which specific bin interval — reveals the structural importance of each variable to CarenR's view of the data. A feature that appears in many rules, under different combinations with other features, is more robustly informative than one appearing in only one or two rules.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4.7.1 Douro (RDD) —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4.9 shows the top features by frequency across all 133 condition appearances in the 48 RDD rules. The dominance of swa_hv_y1_b20 (harvest soil water) at 26 appearances — nearly double the next feature — is the single most robust quantitative signal in the entire Douro analysis.</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48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
containing it</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 berry concentration vs dilution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post-maturity — disease pressure during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days post-flowering — flower abortion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days pre-veraison — accelerated ripening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Heat-stress days (wider window) — sustained heat impact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post-flowering — disease and poor fruit set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tm_fl_y0_b10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before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flowering temperature — carry-over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iaf_bb_y1_c10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budburst — early canopy development</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Wet days at harvest — berry splitting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post-flowering — mid-season moisture</w:t>
            </w:r>
          </w:p>
        </w:tc>
      </w:tr>
    </w:tbl>
    <w:p>
      <w:pPr>
        <w:spacing w:after="200" w:before="80"/>
        <w:jc w:val="center"/>
      </w:pPr>
      <w:r>
        <w:rPr>
          <w:rFonts w:ascii="Times New Roman" w:cs="Times New Roman" w:eastAsia="Times New Roman" w:hAnsi="Times New Roman"/>
          <w:i/>
          <w:iCs/>
          <w:sz w:val="20"/>
          <w:szCs w:val="20"/>
        </w:rPr>
        <w:t xml:space="preserve">Table 4.9. Feature frequency across all 48 RDD CarenR rules. % = proportion of rules containing this feature in any condition.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top six features cluster into three clear agronomic themes that together define the Douro's above-trend production profile: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1 — Soil water management at harvest (swa_hv_y1_b20, rank 1, 54% of rules): </w:t>
      </w:r>
      <w:r>
        <w:rPr>
          <w:rFonts w:ascii="Times New Roman" w:cs="Times New Roman" w:eastAsia="Times New Roman" w:hAnsi="Times New Roman"/>
          <w:sz w:val="24"/>
          <w:szCs w:val="24"/>
        </w:rPr>
        <w:t xml:space="preserve">Moderate soil water deficit in the pre-harvest window is the single most pervasive condition across the entire rule set. It appears in more than half of all 48 rules, confirming that the benefit of mild soil water stress for berry concentration in the Douro is not a single-rule artefact but a genuinely dominant pattern across the historical record.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2 — Moisture control post-maturity (days.rf.above.1mm_sm_y1_a20, rank 2, 44%): </w:t>
      </w:r>
      <w:r>
        <w:rPr>
          <w:rFonts w:ascii="Times New Roman" w:cs="Times New Roman" w:eastAsia="Times New Roman" w:hAnsi="Times New Roman"/>
          <w:sz w:val="24"/>
          <w:szCs w:val="24"/>
        </w:rPr>
        <w:t xml:space="preserve">Dry conditions in the post-veraison ripening window appear nearly as frequently as harvest soil water. The two features are related — dry post-maturity conditions contribute to low pre-harvest soil water — but they capture different aspects of the same drying trajectory: the rainfall frequency feature captures episodic rainfall events, while the soil water balance integrates the cumulative effect.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Theme 3 — Thermal moderation (ranks 3–5, 27–38% of rules): </w:t>
      </w:r>
      <w:r>
        <w:rPr>
          <w:rFonts w:ascii="Times New Roman" w:cs="Times New Roman" w:eastAsia="Times New Roman" w:hAnsi="Times New Roman"/>
          <w:sz w:val="24"/>
          <w:szCs w:val="24"/>
        </w:rPr>
        <w:t xml:space="preserve">Three heat-stress variables (days with Tmax &gt; 35°C at different windows) collectively appear in the vast majority of rules. Their consistent presence confirms that the best Douro vintages are not simply dry but specifically characterised by moderate heat — warm enough for full phenological development but without the acute thermal stress that damages berry integrity. The distinction between flowering-period (ranks 3, 5) and pre-maturity (rank 4) heat stress captures two biologically distinct mechanisms: flower abortion at flowering vs accelerated sugar rise at maturity.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4.7.2 Vinho Verde (RVV) — Feature Frequency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feature frequency pattern is structurally different from RDD, reflecting the different agroclimatic constraints of the Atlantic climate.</w:t>
      </w:r>
    </w:p>
    <w:p>
      <w:pPr>
        <w:spacing w:after="80" w:before="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000"/>
        <w:gridCol w:w="900"/>
        <w:gridCol w:w="1800"/>
        <w:gridCol w:w="30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Appearances
across 20 rules</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 of rules</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Phenological window</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Agronomic meaning</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days post-veraison — absent in below-trend RVV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days.tempMax.above.35_sm_y1_b20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Start-of-Maturity</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days pre-veraison — consistently low in below-trend yrs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days.maxTemp.above.35_fl_y1_a20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Heat days post-flowering — low in below-trend years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before Harvest, current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Soil water pre-harvest — same variable as RDD rank 1</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tm.days.less.15_fl_y1_c15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centred on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Cold days at flowering — impair fruit set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days_minTemp.less.0_bb_y1_c20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centred on Bud Break</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Frost days at budburst — vine damage risk</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sw.above.09fc_fl_y0_a20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20d after Flowering, prev. yr</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Previous-year soil saturation — carry-over vigour</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soil water — excess moisture in RVV</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tm_fl_y1_a10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after Flowering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Post-flowering temperature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10d centred on Harvest</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LAI at harvest — dominant structural signal (see Sec 4.6.3)</w:t>
            </w:r>
          </w:p>
        </w:tc>
      </w:tr>
    </w:tbl>
    <w:p>
      <w:pPr>
        <w:spacing w:after="200" w:before="80"/>
        <w:jc w:val="center"/>
      </w:pPr>
      <w:r>
        <w:rPr>
          <w:rFonts w:ascii="Times New Roman" w:cs="Times New Roman" w:eastAsia="Times New Roman" w:hAnsi="Times New Roman"/>
          <w:i/>
          <w:iCs/>
          <w:sz w:val="20"/>
          <w:szCs w:val="20"/>
        </w:rPr>
        <w:t xml:space="preserve">Table 4.10. Feature frequency across all 20 RVV CarenR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most striking difference from RDD is that the top RVV features are predominantly heat-stress day variables (ranks 1–3), and their role is the opposite of what might be expected: in Vinho Verde's 19 below-trend rules, low heat stress (0–2.4 days above 35°C) is the condition, meaning below-trend years are characterised by the absence of warm conditions. This is not because heat is beneficial in RVV per se, but because low-heat years in this Atlantic climate tend to be cool, moist years where vine canopy growth is excessive and berry maturity is insufficient. The soil water and LAI features at lower ranks (positions 4–10) confirm this interpretation: below-trend RVV years are cool + moist + high-LAI — a combination that promotes vegetative growth at the expense of fruit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appearance of swa_hv_y1_b20 at rank 4 for RVV (25% of rules) compared with rank 1 for RDD (54% of rules) quantifies the regional difference: harvest soil water is important in both regions but substantially more dominant in the drier Douro, where it acts as a binary signal (moderate stress → good year). In the wetter Vinho Verde, harvest soil water is one of several co-occurring stress indicators rather than the primary driver.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4.8 Rule Set Overlap and Internal Coherence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With 48 rules for RDD and 20 for RVV, an important question is whether the rules represent genuinely distinct patterns or whether the rule set contains substantial redundancy — rules that are minor variations of each other covering essentially the same agronomic conditions. Overlap analysis addresses this by computing how many rule pairs share at least one feature condition.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4.8.1 Pairwise Feature Overlap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48 RDD rules, there are 48×47/2 = 1,128 unique rule pairs. Analysis of the full RDD rule CSV shows that 730 of these 1,128 pairs (64.7%) share at least one feature variable. This high overlap figure might seem to indicate redundancy, but it is expected and informative for two reasons.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CarenR by design generates overlapping subgroups: a rule like "dry post-flowering AND dry post-maturity" and a rule like "dry post-flowering AND moderate soil water at harvest" will share the dry post-flowering condition and cover many of the same years. These are not the same rule — the second condition differs, and the subgroups may cover different years at the margins. Together they provide a richer picture of the conditions associated with above-trend production than either alone.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overlap pattern itself reveals which features are the structural backbone of the rule set. A feature that appears in 26 of 48 rules (swa_hv_y1_b20) will be shared by a large fraction of all rule pairs simply because it appears so often. The overlap is not noise — it reflects the fact that harvest soil water is the dominant discriminating condition, and most above-trend years share this characteristic in combination with various secondary conditions.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4.8.2 Unique vs Redundant Rules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more informative measure of coherence is how many rules contain at least one condition not shared with any other rule. Examination of the 48 RDD rules shows that 44 of 48 rules (92%) contain at least one condition-bin combination unique to that rule. Only 4 rules are subsets of other rules — meaning the conditions of rule A are a strict subset of rule B's conditions, making rule A less specific. These 4 subset rules are retained because their higher support (the less specific rule covers more years) provides complementary information about the breadth of the pattern.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rule set (20 rules) is more tightly clustered: 11 of 20 rules (55%) contain at least one unique condition. The remaining 9 rules are variations of the core harvest-soil-water + heat-stress-days theme, differing only in the specific heat-stress window used. This higher redundancy in RVV reflects that CarenR is identifying the same fundamental pattern (cool + dry + low-heat-stress → below trend) from multiple angle across different window widths, rather than finding genuinely distinct agronomic pathways.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4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Metric</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(48 rules)</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(20 rules)</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pairs sharing ≥1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 1128 (64.7%)</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 (20 rules)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Expected high overlap — confirms dominant shared features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with ≥1 unique condition-bin</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 / 48 (92%)</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 / 20 (55%)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has richer feature diversity; RVV more concentrated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that are subsets of another rule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 / 48 (8%)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20 (45%)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rule set has more structural redundancy</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Number of unique feature variables used</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use ~10 distinct variable types</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shared single feature</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(26 rules, 54%)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days.maxTemp.above.35_sm_y1_a20 (10 rules, 50%)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Both have a single dominant structural backbone feature</w:t>
            </w:r>
          </w:p>
        </w:tc>
      </w:tr>
    </w:tbl>
    <w:p>
      <w:pPr>
        <w:spacing w:after="200" w:before="80"/>
        <w:jc w:val="center"/>
      </w:pPr>
      <w:r>
        <w:rPr>
          <w:rFonts w:ascii="Times New Roman" w:cs="Times New Roman" w:eastAsia="Times New Roman" w:hAnsi="Times New Roman"/>
          <w:i/>
          <w:iCs/>
          <w:sz w:val="20"/>
          <w:szCs w:val="20"/>
        </w:rPr>
        <w:t xml:space="preserve">Table 4.11. Rule set overlap and coherence metrics for RDD and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overlap analysis confirms that the CarenR rule sets are internally coherent and structured: they are not random collections of statistically significant conditions but organised around a small number of dominant features (swa_hv in RDD, heat-stress days in RVV) with a richer secondary layer of context-specific conditions. This structure is agronomically meaningful — it reflects the genuine multi-variable nature of wine production determination, where a single dominant driver (soil water or thermal conditions) acts in combination with secondary modifiers to determine whether a given year exceeds or falls below the production trend.</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5. Goal 2 — Predictive Performance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reports the results of the walk-forward validation experiment for both regions. Seventeen models were evaluated across 18 scenarios for RDD and 16 for RVV. The primary ranking metric is scenario-size-weighted MAE on the original production scale (mhl). The 17-model set was designed as a structured sensitivity analysis: rather than selecting one CarenR configuration a priori, all major feature selection strategies were evaluated in parallel to determine which approach transfers best to out-of-sample prediction. This exhaustive comparison makes it possible to identify which design choices matter and which are irrelevant — a question that cannot be answered by evaluating a single variant. Section 5.1 presents the aggregate rankings; Section 5.2 examines the era-composition structure of the RDD results; Section 5.3 presents the regional contrast; Section 5.4 reports the statistical tests with explicit classification of confirmatory vs. exploratory results; and Section 5.5 covers the detrend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5.1 Aggregate Walk-Forward Results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5.1.1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5.1 presents the complete 17-model ranking for the Douro region, sorted by weighted MAE. Naive_Median ranks first with a weighted MAE of 184 mhl. The best CarenR variant, CarenR_Dist_Eta2, achieves 189 mhl — a gap of 5 mhl (3%) relative to the naive baseline. The remaining CarenR variants cluster between 193 and 215 mhl, all ahead of the single-value persistence baseline (Naive, 199 mhl). RIPPER (279 mhl) and Decision Tree (250 mhl) are the worst-performing models, consistent with the unsuitability of hard classification boundaries and tree splits for this small, high-noise dataset.</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800"/>
        <w:gridCol w:w="1800"/>
        <w:gridCol w:w="10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Mean MAE (mhl)</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SD MAE</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179.4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194.6</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191.4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190.2</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181.6</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 / Sup_Thresh / Thresh (tied)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204.3</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39.1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217.8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32.2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230.1</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36.6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249.7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242.4</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43.7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279.4</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275.9</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84.6</w:t>
            </w:r>
          </w:p>
        </w:tc>
      </w:tr>
    </w:tbl>
    <w:p>
      <w:pPr>
        <w:spacing w:after="200" w:before="80"/>
        <w:jc w:val="center"/>
      </w:pPr>
      <w:r>
        <w:rPr>
          <w:rFonts w:ascii="Times New Roman" w:cs="Times New Roman" w:eastAsia="Times New Roman" w:hAnsi="Times New Roman"/>
          <w:i/>
          <w:iCs/>
          <w:sz w:val="20"/>
          <w:szCs w:val="20"/>
        </w:rPr>
        <w:t xml:space="preserve">Table 5.1. RDD walk-forward results, 17 models across 18 scenarios, sorted by weighted MAE. All values in mhl.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5.1.2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Vinho Verde, Naive_Median again ranks first at 140 mhl. The best CarenR variant is CarenR_Dist_Sup_FS at 172 mhl — a gap of 31 mhl (22%) relative to the naive baseline. CarenR_Dist_Eta2, the best RDD model, drops from rank 2 in RDD to rank 12 in RVV (226 mhl), a rank reversal of 10 positions. RIPPER reaches 508 mhl and Decision Tree 479 mhl.</w:t>
      </w:r>
    </w:p>
    <w:p>
      <w:pPr>
        <w:spacing w:after="80" w:before="8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400"/>
        <w:gridCol w:w="1600"/>
      </w:tblGrid>
      <w:tr>
        <w:trPr>
          <w:tblHeader/>
        </w:trPr>
        <w:tc>
          <w:tcPr>
            <w:tcW w:type="dxa" w:w="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Model</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Weighted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in RDD</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 shift vs RDD</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Naive_Median</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Naive_MA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M5Rules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267.5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DT</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479.3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r>
        <w:tc>
          <w:tcPr>
            <w:tcW w:type="dxa" w:w="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Ripper</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508.2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w:t>
            </w:r>
          </w:p>
        </w:tc>
      </w:tr>
    </w:tbl>
    <w:p>
      <w:pPr>
        <w:spacing w:after="200" w:before="80"/>
        <w:jc w:val="center"/>
      </w:pPr>
      <w:r>
        <w:rPr>
          <w:rFonts w:ascii="Times New Roman" w:cs="Times New Roman" w:eastAsia="Times New Roman" w:hAnsi="Times New Roman"/>
          <w:i/>
          <w:iCs/>
          <w:sz w:val="20"/>
          <w:szCs w:val="20"/>
        </w:rPr>
        <w:t xml:space="preserve">Table 5.2. RVV walk-forward results, sorted by weighted MAE. Rank shift = RVV rank minus RDD rank (positive = better in RVV relative to RDD).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5.2 Era Composition and Per-Scenario Analysis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To investigate whether the aggregate weighted MAE obscures important structure, the per-scenario MAE for CarenR_Dist_Eta2 was examined alongside the proportion of post-1990 observations in each training fold. This analysis was conducted after observing the aggregate results — it is therefore exploratory, and all conclusions drawn from it should be read as hypothesis-generating rather than confirmatory.</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00"/>
        <w:gridCol w:w="1300"/>
        <w:gridCol w:w="1800"/>
        <w:gridCol w:w="15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Scenarios</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Post-1990 share</w:t>
            </w:r>
          </w:p>
        </w:tc>
        <w:tc>
          <w:tcPr>
            <w:tcW w:type="dxa" w:w="1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window</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vs Naive_Median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20–28%</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10–18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to +28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(7/9 losses)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10–14</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29–32%</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5–9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 to −32 mhl</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Yes (5/5 wins)</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tiny test sets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33–35%</w:t>
            </w:r>
          </w:p>
        </w:tc>
        <w:tc>
          <w:tcPr>
            <w:tcW w:type="dxa" w:w="1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 years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Noisy</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Unreliable</w:t>
            </w:r>
          </w:p>
        </w:tc>
      </w:tr>
    </w:tbl>
    <w:p>
      <w:pPr>
        <w:spacing w:after="200" w:before="80"/>
        <w:jc w:val="center"/>
      </w:pPr>
      <w:r>
        <w:rPr>
          <w:rFonts w:ascii="Times New Roman" w:cs="Times New Roman" w:eastAsia="Times New Roman" w:hAnsi="Times New Roman"/>
          <w:i/>
          <w:iCs/>
          <w:sz w:val="20"/>
          <w:szCs w:val="20"/>
        </w:rPr>
        <w:t xml:space="preserve">Table 5.3. Per-scenario CarenR_Dist_Eta2 vs Naive_Median performance for RDD, grouped by era-composition phase. Phase boundaries were identified post-hoc.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scenarios 10–14, once the post-1990 share of training data reaches approximately 29%, CarenR_Dist_Eta2 beats the Naive_Median in every scenario by margins of 17–32 mhl. In early scenarios (post-1990 share 20–28%), CarenR loses in 7 of 9 scenarios. The aggregate weighted MAE still places CarenR behind the baseline (189 vs 184 mhl) because early scenarios have the largest test sets (18 years in Scenario 1 vs 5 years in Scenario 14) and therefore dominate the weighted aggregate.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5.3 Regional Contrast — RDD vs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era-composition analysis was applied to RVV to test whether a similar improvement pattern appears. The result is unambiguous: across all 16 RVV scenarios, CarenR achieves zero wins against the Naive_Median. As more post-1990 data enters the training set, CarenR's performance in RVV worsens rather than improves — the opposite direction from RDD.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00"/>
      </w:tblGrid>
      <w:tr>
        <w:trPr>
          <w:tblHeader/>
        </w:trPr>
        <w:tc>
          <w:tcPr>
            <w:tcW w:type="dxa" w:w="2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Count</w:t>
            </w:r>
          </w:p>
        </w:tc>
        <w:tc>
          <w:tcPr>
            <w:tcW w:type="dxa" w:w="5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Identical to Naive_Median (fallback)</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rules fired — CarenR predicted training median</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fired but hurt prediction — harmful rules applied</w:t>
            </w:r>
          </w:p>
        </w:tc>
      </w:tr>
      <w:tr>
        <w:tc>
          <w:tcPr>
            <w:tcW w:type="dxa" w:w="2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Better than Naive_Median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never beats the naive baseline in any scenario</w:t>
            </w:r>
          </w:p>
        </w:tc>
      </w:tr>
    </w:tbl>
    <w:p>
      <w:pPr>
        <w:spacing w:after="200" w:before="80"/>
        <w:jc w:val="center"/>
      </w:pPr>
      <w:r>
        <w:rPr>
          <w:rFonts w:ascii="Times New Roman" w:cs="Times New Roman" w:eastAsia="Times New Roman" w:hAnsi="Times New Roman"/>
          <w:i/>
          <w:iCs/>
          <w:sz w:val="20"/>
          <w:szCs w:val="20"/>
        </w:rPr>
        <w:t xml:space="preserve">Table 5.4. RVV scenario outcomes for CarenR_Dist_Sup_FS vs Naive_Median.</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 Douro</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 Vinho Verde</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(any scenario)</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 / 18</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 16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Effect of adding post-1990 data</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Improves CarenR</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Worsens CarenR</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to median (no rules)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Rare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 / 16 (44%)</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but hurt prediction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Some early scenarios</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 / 16 (56%)</w:t>
            </w:r>
          </w:p>
        </w:tc>
      </w:tr>
      <w:tr>
        <w:tc>
          <w:tcPr>
            <w:tcW w:type="dxa" w:w="3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Best CarenR gap to Naive_Median</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(189 vs 184 mhl)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(172 vs 140 mhl)</w:t>
            </w:r>
          </w:p>
        </w:tc>
      </w:tr>
    </w:tbl>
    <w:p>
      <w:pPr>
        <w:spacing w:after="200" w:before="80"/>
        <w:jc w:val="center"/>
      </w:pPr>
      <w:r>
        <w:rPr>
          <w:rFonts w:ascii="Times New Roman" w:cs="Times New Roman" w:eastAsia="Times New Roman" w:hAnsi="Times New Roman"/>
          <w:i/>
          <w:iCs/>
          <w:sz w:val="20"/>
          <w:szCs w:val="20"/>
        </w:rPr>
        <w:t xml:space="preserve">Table 5.5. RDD vs RVV summary comparison.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5.4 Statistical Tests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Three statistical tests were conducted. Tests are classified below as confirmatory (hypothesis specified before examining results) or exploratory (hypothesis identified after examining results). Uncorrected p-values are reported; no correction for multiple comparisons was applied.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1 — Overall RDD (confirmatory): </w:t>
      </w:r>
      <w:r>
        <w:rPr>
          <w:rFonts w:ascii="Times New Roman" w:cs="Times New Roman" w:eastAsia="Times New Roman" w:hAnsi="Times New Roman"/>
          <w:sz w:val="24"/>
          <w:szCs w:val="24"/>
        </w:rPr>
        <w:t xml:space="preserve">Wilcoxon signed-rank test, CarenR_Dist_Eta2 vs Naive_Median, 18 scenarios. Result: W = 68, p = 0.468. Not significant. CarenR does not significantly outperform or underperform the naive baseline in aggregate.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2 — Era-balanced RDD scenarios 10–14 (exploratory / post-hoc): </w:t>
      </w:r>
      <w:r>
        <w:rPr>
          <w:rFonts w:ascii="Times New Roman" w:cs="Times New Roman" w:eastAsia="Times New Roman" w:hAnsi="Times New Roman"/>
          <w:sz w:val="24"/>
          <w:szCs w:val="24"/>
        </w:rPr>
        <w:t xml:space="preserve">Binomial sign test on 5 scenarios where CarenR won in all 5. The scenarios were identified as era-balanced after observing that CarenR won in them — not pre-specified. Result: p = 0.031. Although this meets the α = 0.05 threshold, the post-hoc identification of the scenario window means this result must be treated as exploratory. It generates a testable hypothesis — that CarenR outperforms the naive baseline when post-1990 training share reaches ~29% — but does not confirm it. Independent prospective validation on new data is required before treating this as a robust finding. This result is referred to throughout this thesis as a post-hoc exploratory finding.</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Test 3 — RVV rule-firing scenarios (confirmatory): </w:t>
      </w:r>
      <w:r>
        <w:rPr>
          <w:rFonts w:ascii="Times New Roman" w:cs="Times New Roman" w:eastAsia="Times New Roman" w:hAnsi="Times New Roman"/>
          <w:sz w:val="24"/>
          <w:szCs w:val="24"/>
        </w:rPr>
        <w:t xml:space="preserve">Wilcoxon signed-rank test on the 9 RVV scenarios where CarenR fired rules (excluding 7 fallback scenarios). Result: W = 0, p = 0.004. Highly significant. When CarenR fires rules in Vinho Verde, those rules are significantly worse than the naive baseline. CarenR's rules actively harm predictive accuracy in RVV. This is a confirmatory negative result.</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1500"/>
        <w:gridCol w:w="1000"/>
        <w:gridCol w:w="19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w:t>
            </w:r>
          </w:p>
        </w:tc>
        <w:tc>
          <w:tcPr>
            <w:tcW w:type="dxa" w:w="3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Comparison</w:t>
            </w:r>
          </w:p>
        </w:tc>
        <w:tc>
          <w:tcPr>
            <w:tcW w:type="dxa" w:w="1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1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p-value</w:t>
            </w:r>
          </w:p>
        </w:tc>
        <w:tc>
          <w:tcPr>
            <w:tcW w:type="dxa" w:w="1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Classification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 vs Naive_Median, RDD, all 18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68</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0.468</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Confirmatory — not significant</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Binomial sign test</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wins 5/5 era-balanced scenarios (10–14), RDD</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p(k≥5, n=5)</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0.031</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POST-HOC / EXPLORATORY — requires prospective validation</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Wilcoxon (2-sided)</w:t>
            </w:r>
          </w:p>
        </w:tc>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 vs Naive_Median, RVV, 9 rule-firing scenarios</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 = 0</w:t>
            </w:r>
          </w:p>
        </w:tc>
        <w:tc>
          <w:tcPr>
            <w:tcW w:type="dxa" w:w="1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0.004</w:t>
            </w:r>
          </w:p>
        </w:tc>
        <w:tc>
          <w:tcPr>
            <w:tcW w:type="dxa" w:w="1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Confirmatory — highly significant negative result</w:t>
            </w:r>
          </w:p>
        </w:tc>
      </w:tr>
    </w:tbl>
    <w:p>
      <w:pPr>
        <w:spacing w:after="200" w:before="80"/>
        <w:jc w:val="center"/>
      </w:pPr>
      <w:r>
        <w:rPr>
          <w:rFonts w:ascii="Times New Roman" w:cs="Times New Roman" w:eastAsia="Times New Roman" w:hAnsi="Times New Roman"/>
          <w:i/>
          <w:iCs/>
          <w:sz w:val="20"/>
          <w:szCs w:val="20"/>
        </w:rPr>
        <w:t xml:space="preserve">Table 5.6. Statistical tests with explicit classification. The p=0.031 result is exploratory and must not be interpreted as confirming CarenR's superiority in era-balanced conditions.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5.5 Detrend Sensitivity Analysis (LOESS)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LOESS detrending (span = 0.40) reduces the Naive_Median weighted MAE from 140 to ~90 mhl for RVV (−36% improvement in Decision 1) but eliminates all CarenR rules (0 rules fire in all 16 scenarios). For RDD, LOESS worsens the baseline from 184 to 290 mhl (+58%) because LOESS extrapolates a slope that the Douro's plateau-shaped trajectory does not follow. The LOESS results confirm that the choice of detrend method is region-specific and that improving Decision 1 comes at the direct cost of suppressing the signal required for Decision 2.</w:t>
      </w:r>
    </w:p>
    <w:p>
      <w:pPr>
        <w:spacing w:after="80" w:before="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000"/>
        <w:gridCol w:w="2000"/>
      </w:tblGrid>
      <w:tr>
        <w:trPr>
          <w:tblHeader/>
        </w:trPr>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Region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Detrend</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wtd MAE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rules found</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best wtd MAE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48</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 mhl (Eta2)</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N/A</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(primary)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 mhl (Sup_FS)</w:t>
            </w:r>
          </w:p>
        </w:tc>
      </w:tr>
      <w:tr>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LOESS (sensitivity)</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 mhl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 (suppressed)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Falls back to median</w:t>
            </w:r>
          </w:p>
        </w:tc>
      </w:tr>
    </w:tbl>
    <w:p>
      <w:pPr>
        <w:spacing w:after="200" w:before="80"/>
        <w:jc w:val="center"/>
      </w:pPr>
      <w:r>
        <w:rPr>
          <w:rFonts w:ascii="Times New Roman" w:cs="Times New Roman" w:eastAsia="Times New Roman" w:hAnsi="Times New Roman"/>
          <w:i/>
          <w:iCs/>
          <w:sz w:val="20"/>
          <w:szCs w:val="20"/>
        </w:rPr>
        <w:t xml:space="preserve">Table 5.7. LOESS detrending sensitivity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5.6 Negative Results — Supervised Discretisation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CarenR_Supervised — which performs discretisation of the response variable within each training fold — was the worst-performing CarenR variant in both regions (rank 15; RDD 240 mhl, RVV 347 mhl). It discovers 46–146 rules per scenario, substantially more than the unsupervised variants, but the rules overfit the training fold because the bin boundaries are optimised on the same data used to assess rule quality. This is a form of target leakage in the feature engineering step. The result is consistent across both regions, confirming that per-fold supervised discretisation degrades out-of-sample performance regardless of climate regime.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5.7 Summary of Goal 2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No model beats Naive_Median in aggregate in either region. The best CarenR variant falls 3% behind in RDD (Wilcoxon p = 0.468) and 22% behind in RVV. The 22% gap in RVV is accompanied by a confirmatory finding that CarenR's rules actively harm prediction when they fire (p = 0.004). A post-hoc exploratory analysis (p = 0.031, n = 5 scenarios) suggests CarenR may be competitive in the Douro when training data is era-balanced — but this observation requires independent validation before it can be treated as a robust finding. Goal 2 is assessed as not achieved in aggregate, with a conditional observation in the RDD era-balanced window that motivates future prospective investigation.</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5. Goal 2 — Predictive Performance (Per-Scenario Analysis Supplement)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5.8 and 5.9 — the full per-scenario MAE tables — to be merged into Chapter 5 after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5.8 Per-Scenario MAE — Douro (RDD)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5.8 presents the complete per-scenario MAE values for Naive_Median and CarenR_Dist_Eta2 across all 18 RDD scenarios. The gap column (positive = CarenR worse, negative = CarenR better) reveals the era-composition pattern described in Section 5.2. Scenarios 10–14, highlighted in green, are the five consecutive era-balanced scenarios where CarenR outperforms the naive baseline. The training period for each scenario is 1934 through the year indicated; the test year is the year immediately following.</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yr</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CarenR_Eta2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Era phase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183.5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216.0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marginal CarenR win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near-tie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214.4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174.9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190.5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+15.6</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Early — era-confounded</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1934–2013</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140.5</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−30.0</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1934–2014</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148.3</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1934–2015</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186.7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158.9</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−27.9</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1934–2016</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170.1</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138.6</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−31.5</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1934–2017</w:t>
            </w:r>
          </w:p>
        </w:tc>
        <w:tc>
          <w:tcPr>
            <w:tcW w:type="dxa" w:w="7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2018</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176.3</w:t>
            </w:r>
          </w:p>
        </w:tc>
        <w:tc>
          <w:tcPr>
            <w:tcW w:type="dxa" w:w="1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145.0</w:t>
            </w:r>
          </w:p>
        </w:tc>
        <w:tc>
          <w:tcPr>
            <w:tcW w:type="dxa" w:w="12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−31.3</w:t>
            </w:r>
          </w:p>
        </w:tc>
        <w:tc>
          <w:tcPr>
            <w:tcW w:type="dxa" w:w="2400"/>
            <w:tcBorders>
              <w:top w:val="single" w:color="888888" w:sz="1"/>
              <w:left w:val="single" w:color="888888" w:sz="1"/>
              <w:bottom w:val="single" w:color="888888" w:sz="1"/>
              <w:right w:val="single" w:color="888888" w:sz="1"/>
            </w:tcBorders>
            <w:shd w:fill="D5F5E3" w:val="clear"/>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Balanced era ★ CarenR wins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157.6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1934–2019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158.1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+21.9</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small test sets</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1 yr test, noisy</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208.7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Late — 1 yr test, noisy</w:t>
            </w:r>
          </w:p>
        </w:tc>
      </w:tr>
    </w:tbl>
    <w:p>
      <w:pPr>
        <w:spacing w:after="200" w:before="80"/>
        <w:jc w:val="center"/>
      </w:pPr>
      <w:r>
        <w:rPr>
          <w:rFonts w:ascii="Times New Roman" w:cs="Times New Roman" w:eastAsia="Times New Roman" w:hAnsi="Times New Roman"/>
          <w:i/>
          <w:iCs/>
          <w:sz w:val="20"/>
          <w:szCs w:val="20"/>
        </w:rPr>
        <w:t xml:space="preserve">Table 5.8. Per-scenario MAE for Naive_Median and CarenR_Dist_Eta2 across all 18 RDD scenarios. Green rows = CarenR wins (scenarios 10–14). Gap = CarenR MAE − Naive_Median MAE.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observations from Table 5.8 are worth highlighting beyond the era-composition pattern already discussed in Section 5.2.</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3 and 4 (marginal CarenR wins, −7.3 and −0.2 mhl): </w:t>
      </w:r>
      <w:r>
        <w:rPr>
          <w:rFonts w:ascii="Times New Roman" w:cs="Times New Roman" w:eastAsia="Times New Roman" w:hAnsi="Times New Roman"/>
          <w:sz w:val="24"/>
          <w:szCs w:val="24"/>
        </w:rPr>
        <w:t xml:space="preserve">These two early scenarios show CarenR marginally matching or beating the naive baseline, despite low post-1990 training share (~22%). They fall in 2007–2008, a period following a moderate drought year (2005, one of the driest in Iberia in the modern era) that may have created unusual year-to-year variation that CarenR's rules happened to capture. They do not represent reliable era-balanced wins — their margins are near-zero and not consistent across the broader early window.</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Scenarios 17 and 18 (large positive gaps, +33 and +65 mhl): </w:t>
      </w:r>
      <w:r>
        <w:rPr>
          <w:rFonts w:ascii="Times New Roman" w:cs="Times New Roman" w:eastAsia="Times New Roman" w:hAnsi="Times New Roman"/>
          <w:sz w:val="24"/>
          <w:szCs w:val="24"/>
        </w:rPr>
        <w:t xml:space="preserve">The two final scenarios each test only a single year (2021 and 2022 respectively). With a single test observation, the scenario MAE equals the absolute prediction error for that year alone. CarenR's large positive gap in these scenarios reflects that its rules misfired on these two specific years — likely because 2021 and 2022 were anomalous in ways not captured by the training distribution. This highlights a fundamental limitation of single-year test sets: they cannot separate systematic model failure from one-off prediction errors. The experiment log (Section 21.3) notes that these late scenarios are explicitly excluded from the era-balanced binomial analysis for this reason.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Scenario Naive_Median MAE range (86.7–223.3 mhl): </w:t>
      </w:r>
      <w:r>
        <w:rPr>
          <w:rFonts w:ascii="Times New Roman" w:cs="Times New Roman" w:eastAsia="Times New Roman" w:hAnsi="Times New Roman"/>
          <w:sz w:val="24"/>
          <w:szCs w:val="24"/>
        </w:rPr>
        <w:t xml:space="preserve">The variation in Naive_Median MAE across scenarios reflects the inherent year-to-year production variability of the test year in each case. When the test year happens to be close to the trend (Scenario 17: 2021 was near-trend), Naive_Median performs very well. When the test year is a strong outlier (Scenario 3: 2007 was above-trend in Douro), Naive_Median has a high error regardless of what any model does. This variability confirms the importance of using weighted aggregate metrics rather than relying on any single scenario.</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5.9 Per-Scenario MAE — Vinho Verde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5.9 presents the equivalent per-scenario analysis for RVV, comparing Naive_Median against CarenR_Dist_Sup_FS (the best RVV CarenR variant). The "outcome" column indicates whether CarenR fell back to the median (identical prediction, zero gap) or fired rules that hurt prediction (positive gap).</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700"/>
        <w:gridCol w:w="1400"/>
        <w:gridCol w:w="1400"/>
        <w:gridCol w:w="1200"/>
        <w:gridCol w:w="24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Train period</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Test yr</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Naive_Median
MAE (mhl)</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CarenR_Sup_FS
MAE (mhl)</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 = CarenR worse)</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Outcome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143.0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137.3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+14.1</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115.7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106.0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139.4</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+33.4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+38.8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165.5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129.5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+51.3</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192.7</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+62.2</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hurt prediction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1942–2009</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151.8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+70.8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1942–2010</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244.8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+73.8</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worst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175.2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257.6</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+82.4</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HARMFUL — rules fired, largest gap</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206.2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184.0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213.8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1942–2016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2017</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260.3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 no rules fired</w:t>
            </w:r>
          </w:p>
        </w:tc>
      </w:tr>
    </w:tbl>
    <w:p>
      <w:pPr>
        <w:spacing w:after="200" w:before="80"/>
        <w:jc w:val="center"/>
      </w:pPr>
      <w:r>
        <w:rPr>
          <w:rFonts w:ascii="Times New Roman" w:cs="Times New Roman" w:eastAsia="Times New Roman" w:hAnsi="Times New Roman"/>
          <w:i/>
          <w:iCs/>
          <w:sz w:val="20"/>
          <w:szCs w:val="20"/>
        </w:rPr>
        <w:t xml:space="preserve">Table 5.9. Per-scenario MAE for Naive_Median and CarenR_Dist_Sup_FS across all 16 RVV scenarios. Gap = CarenR MAE − Naive_Median MAE. All gaps are zero or positive — CarenR never beats the baseline.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per-scenario table reveals important structure that the aggregate weighted MAE figure of 172 mhl obscures.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degradation trajectory (Scenarios 4–11): </w:t>
      </w:r>
      <w:r>
        <w:rPr>
          <w:rFonts w:ascii="Times New Roman" w:cs="Times New Roman" w:eastAsia="Times New Roman" w:hAnsi="Times New Roman"/>
          <w:sz w:val="24"/>
          <w:szCs w:val="24"/>
        </w:rPr>
        <w:t xml:space="preserve">The gap between CarenR and the naive baseline grows monotonically from +33 mhl (Scenario 4) to +82 mhl (Scenario 11). This is the clearest evidence of the era-composition deterioration described in Section 5.3: as the training set includes more post-1990 observations (with substantially lower production than the historical average), the rules CarenR discovers become increasingly calibrated to the modern low-production era. When those rules are applied to test years that are also in the modern era, they fire conditions that — by coincidence — match the training set's era characteristics rather than genuine inter-annual climate signals, and predict in the wrong direction.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The fallback pattern (Scenarios 1, 3, 12–16): </w:t>
      </w:r>
      <w:r>
        <w:rPr>
          <w:rFonts w:ascii="Times New Roman" w:cs="Times New Roman" w:eastAsia="Times New Roman" w:hAnsi="Times New Roman"/>
          <w:sz w:val="24"/>
          <w:szCs w:val="24"/>
        </w:rPr>
        <w:t xml:space="preserve">Seven of 16 scenarios show a zero gap — CarenR fired no rules and fell back to the training median. This is not a failure in the same sense as the harmful-rules scenarios: it means CarenR correctly identified that no confident rule applied to the test year and made the safe prediction. The fallback scenarios are concentrated in early scenarios (1, 3) and late scenarios (12–16). The late fallback pattern is interesting: in scenarios 12–16, the training set is very era-balanced (all modern era), but CarenR apparently finds no applicable rules. This suggests that with a homogeneous modern-era training set, the wine production signal becomes too noisy for any subgroup to achieve both KS significance and ≥15% support — confirming that the era structure is what created the spurious rules in the first place.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Weighted MAE decomposition: </w:t>
      </w:r>
      <w:r>
        <w:rPr>
          <w:rFonts w:ascii="Times New Roman" w:cs="Times New Roman" w:eastAsia="Times New Roman" w:hAnsi="Times New Roman"/>
          <w:sz w:val="24"/>
          <w:szCs w:val="24"/>
        </w:rPr>
        <w:t xml:space="preserve">The weighted aggregate of 172 mhl is dominated by the 9 harmful scenarios (weighted by test-set sizes of 20–80 years in early scenarios). The 7 fallback scenarios contribute 0 mhl to the gap. This means the 22% gap between CarenR and Naive_Median in RVV is entirely attributable to the harmful-rules scenarios, not to the fallback scenarios. The Wilcoxon test on harmful-rules scenarios (p = 0.004, Section 5.4) correctly identifies these as the source of the problem.</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5. Goal 2 — Predictive Performance (Additions: Sections 5.8–5.10)</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document contains Sections 5.8, 5.9, and 5.10, which expand the Chapter 5 analysis with a detailed feature selector comparison, an interpretation of the era-balanced winning scenarios, and a discussion of what the fallback-to-median behaviour means in practice.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5.8 Feature Selector Comparison — Why Eta2 Wins in RDD and Sup_FS in RVV</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11 CarenR variants evaluated in this study differ primarily in their feature selection strategy — the step that reduces the 58-feature input space before CarenR searches for rules. This section analyses why different selection strategies produce different outcomes across the two regions, and what that tells us about the underlying agroclimatic signal.</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1100"/>
        <w:gridCol w:w="1200"/>
        <w:gridCol w:w="11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method</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wtd MAE</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rank
(among CarenR)</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wtd MAE</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189.2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225.7</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 support ≥20%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185.2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225.0</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rules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3rd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threshold</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2nd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171.6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 |r|≥0.20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203.1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209.4</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selection (all features)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215.3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274.6</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229.0</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196.2</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11th</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347.3</w:t>
            </w:r>
          </w:p>
        </w:tc>
      </w:tr>
    </w:tbl>
    <w:p>
      <w:pPr>
        <w:spacing w:after="200" w:before="80"/>
        <w:jc w:val="center"/>
      </w:pPr>
      <w:r>
        <w:rPr>
          <w:rFonts w:ascii="Times New Roman" w:cs="Times New Roman" w:eastAsia="Times New Roman" w:hAnsi="Times New Roman"/>
          <w:i/>
          <w:iCs/>
          <w:sz w:val="20"/>
          <w:szCs w:val="20"/>
        </w:rPr>
        <w:t xml:space="preserve">Table 5.10. CarenR variants ranked within the CarenR family by weighted MAE for each region. Rank reversals between regions indicate that selector quality matters differently in each climate context.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rank reversals are striking: CarenR_Dist_Eta2 ranks 1st in RDD but 9th in RVV; CarenR_Dist_Sup_FS ranks 3rd in RDD and 1st in RVV. Understanding why requires examining what each selector does and why that matters differently in each region.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η² wins in RDD. </w:t>
      </w:r>
      <w:r>
        <w:rPr>
          <w:rFonts w:ascii="Times New Roman" w:cs="Times New Roman" w:eastAsia="Times New Roman" w:hAnsi="Times New Roman"/>
          <w:sz w:val="24"/>
          <w:szCs w:val="24"/>
        </w:rPr>
        <w:t xml:space="preserve">The η² (eta-squared) selector measures the association between each discretised feature and the discretised response using an ANOVA effect size — it detects whether the production distribution differs meaningfully across the four quartile bins of each feature. In the Douro, where genuine climate signal exists and CarenR actually fires rules in several scenarios, the quality of the feature selection matters: η² identifies the specific variables (harvest soil water, post-flowering wet days) whose distributional relationship with production is strongest within the training period. This results in rules that fire on genuinely informative conditions and improve prediction in the era-balanced scenarios. In Vinho Verde, where CarenR falls back to the median in most scenarios (rules do not fire, or fire harmfully), the quality of the feature selection is largely irrelevant — the prediction is dominated by the fallback mechanism regardless of which 10–15 features were retained. The η² variant's aggressive selection produces slightly harmful rules in the few RVV scenarios where it does fire, explaining its poor RVV rank.</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Sup_FS wins in RVV. </w:t>
      </w:r>
      <w:r>
        <w:rPr>
          <w:rFonts w:ascii="Times New Roman" w:cs="Times New Roman" w:eastAsia="Times New Roman" w:hAnsi="Times New Roman"/>
          <w:sz w:val="24"/>
          <w:szCs w:val="24"/>
        </w:rPr>
        <w:t xml:space="preserve">CarenR_Dist_Sup_FS applies a support filter on top of Pearson correlation selection: it retains only features where each bin contains at least 20% of the training observations, ensuring that the feature's relationship with production is robust across the entire distribution rather than driven by a handful of extreme years. In Vinho Verde, where the dominant "below-trend" signal arises from a combination of multiple co-occurring conditions (soil water + heat stress + LAI), aggressive selection tends to produce overfit rules that fire on era-specific patterns rather than genuine climate signals. The conservative Sup_FS selection retains only the most broadly applicable features, which produces rules that either fire correctly on obvious patterns or — most importantly — recognise that no confident rule applies and fall back to the median. The fallback behaviour is the key: in 7 of 16 RVV scenarios, Sup_FS correctly predicts the median (zero gap vs Naive_Median), whereas a more aggressive selector would fire a spurious rule and accumulate error.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practical implication is clear: in regimes with strong and consistent climate signal (RDD), aggressive feature selection that identifies the most discriminating features improves prediction. In regimes with weaker or more era-contaminated signal (RVV), conservative selection that preserves the fallback mechanism is preferable. The optimal strategy is therefore problem-specific, which argues for the kind of structured sensitivity analysis — evaluating all 11 variants — that this thesis undertakes, rather than committing to a single variant a priori.</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5.9 What Happened in the Era-Balanced Winning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five scenarios where CarenR_Dist_Eta2 beats the naive baseline in RDD correspond to test years 2014, 2015, 2016, 2017, and 2018. Understanding what made these years predictable from climate rules — and why CarenR succeeded where it fails in other years — provides important context for the post-hoc finding (p = 0.031).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each of these five years, CarenR fired rules based on the top RDD signals — dry post-flowering conditions and moderate soil water stress at harvest — and its predicted above-trend residual was closer to the actual production than the training median. The training sets for scenarios 10–14 (covering 1934 through 2013–2017) had reached approximately 29–32% post-1990 representation, meaning the discovered rules were calibrated on a training distribution that meaningfully included the modern (post-1990) production era rather than being dominated by the high-production pre-1976 era.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Agronomically, 2014–2018 were years characterised by the Douro's increasingly hot, dry summers — a pattern that has intensified under recent climate trends. The dry post-flowering and moderate pre-harvest soil water conditions that define the top CarenR rules were clearly present in multiple years of this window, creating genuine rule-fireable conditions that translated to above-trend production. The fact that CarenR could detect and predict this correctly — rather than falling back to the median — is precisely what the distributional rule framework is designed to achieve: identifying years where the climate signal is strong enough to be actionable.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reason CarenR then fails again in scenarios 15–18 (test years 2019–2022) is equally informative. The 2019–2022 window was characterised by unusual year-to-year variability driven by the combined effects of climate extremes (severe drought years interspersed with unusually wet seasons). The rules learned from 1934–2018 training data were calibrated to the historical distributional structure, which was disrupted by the post-2018 volatility. This is a reminder that distributional rules are inherently backward-looking: they identify patterns from historical data, and their predictive value diminishes when the future departs from the historical distributional structure.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5.10 The Fallback Mechanism — When CarenR Says "I Don't Know"</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distinctive and underappreciated feature of the CarenR prediction framework is its explicit fallback mechanism: when no rule fires for a given test year, the model predicts the training median residual — the same prediction as the Naive_Median baseline. This produces a zero gap between CarenR and Naive_Median in those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behaviour is not a failure — it is the model correctly communicating uncertainty. A CarenR fallback is semantically equivalent to saying: "the climate conditions of this test year do not match any of the patterns I learned from historical data with sufficient confidence. My best prediction is therefore the historical average." This is a principled, conservative position that avoids compounding error by applying a rule that may not be appropriate.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contrast with RIPPER is instructive. RIPPER always assigns a class — it has a default rule that catches all unmatched observations, and it will always produce a prediction. This means RIPPER never explicitly signals uncertainty; every test year gets a confident class assignment regardless of how well it matches the training patterns. The result is that RIPPER's errors in difficult years are often larger than CarenR's, because CarenR defaults to the safe median while RIPPER applies its default (most-common-class) rule.</w:t>
      </w:r>
    </w:p>
    <w:p>
      <w:pPr>
        <w:spacing w:after="80" w:before="8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600"/>
        <w:gridCol w:w="1600"/>
        <w:gridCol w:w="30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Scenario type</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 behaviour</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Prediction</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Gap vs baseline</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correct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Negative (CarenR wins)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Genuine climate signal detected and used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Rules fire, wrong direction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Applies matching rule(s)</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Weighted rule mean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Positive (CarenR loses)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Era-specific rule misfires on test year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 rules fire (fallback)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Returns training median</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 0</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Zero (tie with baseline)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Model correctly recognises no applicable pattern</w:t>
            </w:r>
          </w:p>
        </w:tc>
      </w:tr>
    </w:tbl>
    <w:p>
      <w:pPr>
        <w:spacing w:after="200" w:before="80"/>
        <w:jc w:val="center"/>
      </w:pPr>
      <w:r>
        <w:rPr>
          <w:rFonts w:ascii="Times New Roman" w:cs="Times New Roman" w:eastAsia="Times New Roman" w:hAnsi="Times New Roman"/>
          <w:i/>
          <w:iCs/>
          <w:sz w:val="20"/>
          <w:szCs w:val="20"/>
        </w:rPr>
        <w:t xml:space="preserve">Table 5.11. The three possible outcomes of CarenR prediction and their interpretation.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 RDD, fallback scenarios are rare because CarenR tends to find applicable rules in most years — the Douro climate signal is strong enough that at least one condition-set matches most test years. In RVV, fallback is the dominant outcome in later scenarios (scenarios 12–16), where the training distribution has stabilised into the modern low-production era and CarenR correctly identifies that the historical rules — calibrated partly on high-production pre-1980 data — are no longer reliably applicable. The increase in fallback frequency in later RVV scenarios is itself a diagnostic finding: it shows that CarenR is becoming progressively more conservative as the era gap between training history and test years widens, which is the correct adaptive response to structural non-stationarity.</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6. Discussion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draws together the findings from Chapters 4 and 5 to explain why rule-based machine learning succeeds at pattern discovery but falls short of reliable prediction in this domain. Four questions are addressed: (1) why the same rules that explain historical production cannot reliably predict future production; (2) why the two technical decisions embedded in the pipeline are in fundamental tension; (3) why the two regions diverge so markedly in their CarenR performance; and (4) what structural properties of the data would need to change for rule-based prediction to succeed.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6.1 The Asymmetry Between Discovery and Prediction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core finding of this thesis is an asymmetry between two related but distinct tasks: discovering patterns that explain historical production, and predicting future production from those patterns. Goal 1 succeeds — 48 rules for RDD and 20 for RVV, pointing to harvest-period soil water and flowering-phase moisture as primary drivers, validated by LOESS detrending to be genuine within-era effects. Goal 2 does not succeed in aggregate. Understanding why requires examining the different requirements of the two tasks.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Pattern discovery requires only that a statistical association exists — that years satisfying a given condition have a systematically different production distribution from years that do not. With |r| ≈ 0.47 between the top climate features and production residuals, even under LOESS detrending that removes era confounds, such an association clearly exists. CarenR's KS-test framework is well suited to detecting distributional differences at this signal strength: subgroup induction on 80–89 years of data with a 15% support threshold provides adequate power to identify the most prominent associations.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Prediction requires something harder: the association must be strong enough that knowing a year's climate conditions reduces the expected error below what would be obtained by simply predicting the training median. With |r| ≈ 0.47, climate features explain approximately 22% of the variance in production residuals. The remaining 78% is unexplained variance — driven by factors not in the feature set (severe weather events within the growing season, vine disease outbreaks, localised frost, logistical constraints on harvest) or by measurement noise. In a series with coefficient of variation ≈ 47%, the signal-to-noise ratio is too low for a rule-based classifier to overcome year-to-year noise in held-out prediction, even though the identified patterns are real.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asymmetry — a genuine agroclimatic association that is too weak for reliable prediction — is not a failure of the methodology. It is a property of the system being studied, and quantifying it precisely is a contribution of this thesis.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6.2 The Two-Decision Trade-off</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prediction pipeline decomposes into two sequential decisions whose demands pull in opposite directions (Section 3.3). Decision 1 (trend modelling) determines how large the test-period residuals are: a better-fitting trend leaves smaller residuals and a lower Naive_Median baseline. Decision 2 (climate signal extraction) determines whether a model can predict those residuals better than zero: it requires structured, non-trivial residuals to exploit.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LOESS detrending experiment makes this trade-off concrete. In the RVV, LOESS reduces the Naive_Median baseline from 140 to approximately 90 mhl — a 36% improvement in Decision 1. But LOESS simultaneously reduces test residuals to magnitudes too small for CarenR to form stable rules, suppressing rule induction to zero. The improvement in Decision 1 quality is achieved by removing the very signal that Decision 2 depends 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the RDD, the linear trend is already better calibrated to the Douro's plateau-shaped production trajectory than LOESS, which would overfit the training tail and inflate test residuals to 290 mhl. Here, linear detrending both provides the better Decision 1 floor and preserves sufficient structured residual for Decision 2. The result is the closest CarenR approach to the naive baseline observed in this study (189 vs 184 mhl).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trade-off cannot be resolved within the current methodology because both decisions are parameterised by a single covariate (time) and a single hyperparameter (linear vs. LOESS span). Decoupling them would require separate covariates for structural trend (industry restructuring, policy, demographics) and climate signal. As long as time is the only detrending covariate, any increase in trend flexibility competes directly with residual signal availability.</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6.3 Why the Two Regions Diverge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3% gap between CarenR and the naive baseline in RDD versus the 22% gap in RVV reflects a structural difference in the underlying data, not just a difference in degree.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Douro's production history is structurally less confounded. The Douro DOC for table wines was established in 1979, and Port production is regulated by an annual administrative quota (the benefício system), which partially decouples observed production from pure climate variation. The region's production increased gradually across the study period (+80%), creating a smoother structural trend that linear detrending captures adequately. As a result, linear detrend residuals in RDD contain a mixture of genuine climate signal and modest structural residual, with the climate component sufficiently prominent for CarenR to exploit in era-balanced scenarios.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Vinho Verde's production decline of 65% over the study period was driven primarily by structural factors: EU accession (1986) and the Common Agricultural Policy brought grubbing-up subsidies and quality standards that penalised the region's traditional high-yield pergola systems; rural exodus reduced the number of active small producers; and conversion to lower-yield espalier training reduced per-hectare output independently of climate. These transitions were concentrated in the 1980s–2000s, producing a non-linear structural break that neither linear nor LOESS detrending can fully separate from the inter-annual climate signal. The RVV linear detrend residuals therefore contain a larger structural residual component that contaminates the climate signal available for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era-composition analysis (Section 5.3) further illustrates this divergence. As more post-1990 data enters the RVV training set, CarenR's performance worsens rather than improves — the opposite of the RDD pattern. This indicates that the rules CarenR discovers for RVV are increasingly tuned to era-specific statistical patterns that do not generalise to test years from the same modern era. The structural disruption of Vinho Verde production has been so large and so rapid that no stable climate-production relationship emerges from within any single era.</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300"/>
        <w:gridCol w:w="2900"/>
      </w:tblGrid>
      <w:tr>
        <w:trPr>
          <w:tblHeader/>
        </w:trPr>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Dimension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 Douro</w:t>
            </w:r>
          </w:p>
        </w:tc>
        <w:tc>
          <w:tcPr>
            <w:tcW w:type="dxa" w:w="2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 Vinho Verde</w:t>
            </w:r>
          </w:p>
        </w:tc>
        <w:tc>
          <w:tcPr>
            <w:tcW w:type="dxa" w:w="2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Implication</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(gradual)</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(structural break)</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confound is stronger and harder to detrend</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Era confound</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rules are more era-contaminated in RVV</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effect within era</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Visible (|r|~0.47 survives LOESS)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magnitude but overwhelmed by structural noise</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Same climate signal; different noise floor</w:t>
            </w:r>
          </w:p>
        </w:tc>
      </w:tr>
      <w:tr>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performance</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 gap, wins in 5/18 scenarios</w:t>
            </w:r>
          </w:p>
        </w:tc>
        <w:tc>
          <w:tcPr>
            <w:tcW w:type="dxa" w:w="2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 gap, 0/16 wins, rules harmful</w:t>
            </w:r>
          </w:p>
        </w:tc>
        <w:tc>
          <w:tcPr>
            <w:tcW w:type="dxa" w:w="2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Structural noise eliminates any climate advantage in RVV</w:t>
            </w:r>
          </w:p>
        </w:tc>
      </w:tr>
    </w:tbl>
    <w:p>
      <w:pPr>
        <w:spacing w:after="200" w:before="80"/>
        <w:jc w:val="center"/>
      </w:pPr>
      <w:r>
        <w:rPr>
          <w:rFonts w:ascii="Times New Roman" w:cs="Times New Roman" w:eastAsia="Times New Roman" w:hAnsi="Times New Roman"/>
          <w:i/>
          <w:iCs/>
          <w:sz w:val="20"/>
          <w:szCs w:val="20"/>
        </w:rPr>
        <w:t xml:space="preserve">Table 6.1. Structural explanation of the RDD vs RVV performance divergence.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6.4 Why the Walk-Forward Metric Penalises CarenR</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weighted MAE metric assigns weight proportional to test-set size. In an expanding-window design, early scenarios have the largest test sets. Scenario 1 for RDD covers 18 test years; Scenario 14 covers 5. The early scenarios are precisely those where era confound is strongest (post-1990 share 20–28%) and CarenR underperforms. The scenarios where CarenR wins (10–14) have the smallest test sets among the reliable scenarios and contribute the least to the aggregate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interaction is not a deficiency of the metric — weighting by test-set size correctly gives more influence to estimates based on more observations. However, it means that the aggregate weighted MAE is sensitive to the era-composition structure of the time series. A dataset in which the modern era constituted a larger fraction of the study period would allocate more weight to scenarios where CarenR is competitive, potentially reversing the aggregate ranking. As the Portuguese wine industry accumulates additional years of observation in the modern (post-1990) era, the era-balanced window would arrive earlier in the walk-forward sequence and carry more aggregate weight.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6.5 Structural Covariates as a Path Forward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analysis throughout this thesis points to a single underlying limitation: the detrending step uses time as its sole covariate, which conflates climate-driven variation with structural industry changes. The most promising methodological extension is to incorporate structural covariates — vineyard planted area, number of certified producers, annual Port benefício quota, and proportion of espalier vs. pergola training — directly into the detrending model.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structural detrending model of the form:</w:t>
      </w:r>
    </w:p>
    <w:p>
      <w:pPr>
        <w:spacing w:after="80" w:before="80"/>
      </w:pPr>
      <w:r>
        <w:t xml:space="preserve"/>
      </w:r>
    </w:p>
    <w:p>
      <w:pPr>
        <w:spacing w:after="120" w:before="120" w:line="360"/>
        <w:jc w:val="both"/>
      </w:pPr>
      <w:r>
        <w:rPr>
          <w:rFonts w:ascii="Times New Roman" w:cs="Times New Roman" w:eastAsia="Times New Roman" w:hAnsi="Times New Roman"/>
          <w:i/>
          <w:iCs/>
          <w:sz w:val="24"/>
          <w:szCs w:val="24"/>
        </w:rPr>
        <w:t xml:space="preserve">y</w:t>
      </w:r>
      <w:r>
        <w:rPr>
          <w:rFonts w:ascii="Times New Roman" w:cs="Times New Roman" w:eastAsia="Times New Roman" w:hAnsi="Times New Roman"/>
          <w:sz w:val="24"/>
          <w:szCs w:val="24"/>
        </w:rPr>
        <w:t>t = α + β₁·t + β₂·area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β₃·quota</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i/>
          <w:iCs/>
          <w:sz w:val="24"/>
          <w:szCs w:val="24"/>
        </w:rPr>
        <w:t xml:space="preserv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would separate the structural production trajectory (captured by area and quota covariates) from the inter-annual climate residual (ε_t), leaving a cleaner signal for CarenR to exploit. The era confound would be substantially reduced because the structural transitions that create era boundaries would be explicitly modelled rather than proxied by the time trend. This approach is analogous to the use of normalised production (production per hectare of planted vineyard) in some agronomic studies, which removes the area effect from the production series.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Such data are available in principle from IVV (Instituto da Vinha e do Vinho) and IVDP (Instituto dos Vinhos do Douro e do Porto) for the modern period, though the historical coverage for pre-1986 years may be incomplete. Assembling a full structural covariate time series for 1934–2022 (RDD) and 1942–2021 (RVV) would require archival research and is left as the primary recommendation for future work.</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6.6 Relation to Prior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finding that rule-based methods can discover interpretable agroclimatic patterns but fail to outperform naive baselines in small samples is consistent with the broader forecasting literature on agricultural yield prediction. Santos et al. (various) and Fraga et al. (2012, 2014) have demonstrated that climate indices derived from the growing season are correlated with wine quality and quantity in Portuguese regions, but the predictive R² values reported in those studies (typically 0.35–0.55 for regional aggregates) are broadly consistent with the |r| ≈ 0.47 observed here, suggesting that the signal level is an intrinsic property of the system rather than a limitation of the current feature set.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two-decision framing proposed in this thesis offers a more precise diagnostic than the summary “model beats baseline or not.” Decomposing prediction error into trend quality and climate signal extraction pinpoints where the bottleneck lies: in this case, Decision 1 (structural detrending) rather than Decision 2, given that the rule-learning step already approaches the limit set by the available climate signal.</w:t>
      </w:r>
    </w:p>
    <w:p>
      <w:pPr>
        <w:spacing w:after="80" w:before="80"/>
      </w:pPr>
      <w:r>
        <w:t xml:space="preserve"/>
      </w:r>
    </w:p>
    <w:p>
      <w:pPr>
        <w:pStyle w:val="Heading1"/>
        <w:spacing w:after="180" w:before="360"/>
      </w:pPr>
      <w:r>
        <w:rPr>
          <w:rFonts w:ascii="Times New Roman" w:cs="Times New Roman" w:eastAsia="Times New Roman" w:hAnsi="Times New Roman"/>
          <w:b/>
          <w:bCs/>
          <w:sz w:val="28"/>
          <w:szCs w:val="28"/>
        </w:rPr>
        <w:t xml:space="preserve">6. Discussion (Addition: Section 6.7 — Experimental Design Decisions)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Section 6.7 describes the key design decisions made during the development of the experimental pipeline. This section documents the reasoning behind choices that are not fully explained by the final methodology alone, including decisions to abandon or modify approaches that did not work as initially intended.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6.7 Experimental Design Decisions and Methodological Evolution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final pipeline described in Chapter 3 represents the outcome of an iterative development process. Several design decisions were made in response to problems discovered during exploratory analysis, and documenting these decisions is both methodologically honest and practically informative for future researchers working on similar problems.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6.7.1 The Uptrend Problem and the Decision to Detrend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first major design decision concerned how to handle the structural production trends in both regions. An initial version of the CarenR analysis was run on raw (non-detrended) production values for the Douro. The result was immediately suspicious: all five discovered rules pointed to LOW production conditions, despite the Douro having a clear upward trend and the expectation that meaningful rules should exist for both above and below-average years.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Investigation revealed the cause: without detrending, CarenR's global mean was the all-time average (approximately 1,112 mhl), which is heavily influenced by the low-production pre-1960 era. Years from the 1930s–1950s were systematically below this global mean not because of climate but because the structural production baseline was lower. CarenR was finding rules that described era membership — "low production years tend to be early years" — rather than genuine climate-production relationships. The discovered rules were statistically valid but agronomically meaningless.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solution — linear detrending applied separately within each training fold — transformed the problem from one of explaining raw production levels to one of explaining deviations from the expected structural trajectory. Under this formulation, a rule like "dry post-flowering conditions → above-trend production" is interpretable regardless of which era the year belongs to, because "above-trend" is defined relative to the era-specific trend. The detrending decision was therefore not merely a preprocessing convenience but a fundamental reframing of the research question from "what predicts high production?" to "what predicts better-than-expected production given the structural context of each period?"</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6.7.2 LOESS Detrending — A Promising Idea That Killed the Signal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Once linear detrending was adopted, a natural follow-up question was whether more flexible detrending (LOESS) might produce better results by more accurately capturing the non-linear structural trajectories — particularly the RVV plateau-then-collapse shape. LOESS detrending was evaluated with a smoothing span of 0.40, which provides substantial flexibility while preserving some year-to-year structure.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result was counter-intuitive: LOESS improved the Naive_Median baseline substantially for RVV (from 140 to ~90 mhl, a 36% improvement in Decision 1) but eliminated all CarenR rules entirely — zero rules fired in any scenario. The explanation became clear upon reflection: LOESS with span 0.40 on an 80-year series absorbs so much of the inter-annual variation into the trend component that the residuals become too small and structureless for CarenR's KS test to detect significant subgroup differences. The flexible trend was doing exactly what it was designed to do — capturing year-to-year variation — but in doing so it was consuming the signal that CarenR needed.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For RDD, LOESS proved actively harmful: the Naive_Median baseline worsened from 184 to 290 mhl because LOESS extrapolated the slope of the final training years into the test period. The Douro's production had plateaued around 1,300–1,400 mhl since the mid-2000s, but LOESS projected a continued slope from the training data into test years, systematically overestimating production. The rigid linear trend, despite its simplicity, happened to extrapolate the Douro plateau more accurately than the flexible LOESS curve.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LOESS results reinforced the two-decision decomposition: improving Decision 1 (trend quality) came directly at the cost of Decision 2 (climate signal availability). The decision to retain linear detrending for the primary analysis was therefore not a limitation born of simplicity but a deliberate choice that maximised the climate signal available for rule discovery while accepting a higher baseline error.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6.7.3 The Classification-to-Regression Transition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original design of Goal 2 (predictive evaluation) used RIPPER as the primary comparison model, with production discretised into Low / Medium / High classes. The evaluation metric was classification accuracy. This design proved unsatisfactory for two reasons discovered during initial experiments.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First, RIPPER's cross-validated accuracy of 35–42% — only marginally above the 33% random baseline — confirmed that the classification task was genuinely difficult but also revealed that the accuracy metric was a poor measure of prediction quality for this application. A model that correctly identifies "above-trend" vs "below-trend" years at 55% accuracy might be practically valuable even if its overall three-class accuracy is modest, because correctly identifying the direction is more important than nailing the precise tertile. Accuracy treats all misclassifications equally, which is not the right criterion when the goal is to outperform a naive quantitative forecast.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comparing RIPPER (classification) against CarenR (which outputs a continuous mean residual) required arbitrary conversion of CarenR's continuous predictions to class labels, or RIPPER's class labels to continuous values. Either conversion introduced distortion. The cleaner solution was to operate entirely in the continuous domain: use MAE on the original production scale as the evaluation metric, and compare all models — including RIPPER — by the same criterion. RIPPER was retained as a comparison model for Goal 1 (rule discovery, where its classification rules are directly interpretable) but M5Rules replaced it as the primary continuous-target comparison for Goal 2.</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transition from a classification to a regression evaluation framework was not merely cosmetic. It changed which models were most meaningful to compare, which metric was used, and ultimately what the thesis's predictive conclusion would be. The MAE-based walk-forward evaluation with a Naive_Median baseline is a more demanding and more informative benchmark than classification accuracy: it directly asks whether a model can beat the simplest possible quantitative forecast, which is the right question for a production forecasting application.</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6.7.4 CarenR Variant Proliferation — Why 11 Variants?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decision to evaluate 11 CarenR variants was motivated by a genuine uncertainty about which feature selection strategy would work best in this domain. Prior work with CarenR had established that feature selection matters but had not systematically evaluated the trade-off between aggressive selection (which finds the most discriminating features but risks overfitting) and conservative selection (which retains broader coverage but may include noise).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11 variants represent a structured exploration of this trade-off rather than an ad hoc collection of experiments. They vary along three dimensions: the criterion used to rank features (η², Pearson |r|, hard threshold); whether a support filter is applied (ensuring each bin of a selected feature is well-populated); and how rule predictions are combined at test time (equal weighting, support weighting, confidence weighting, stacking). The CarenR_Supervised variant was included specifically to test the hypothesis that per-fold supervised discretisation might improve rule quality by better aligning bin boundaries with the production distribution — and its consistent failure (worst CarenR variant in both regions) provides a clear, replicable finding about the risks of target leakage in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systematic comparison also revealed the region-specificity of optimal selection strategy (η² for RDD, Sup_FS for RVV), which is itself a methodological contribution: it demonstrates that the appropriate CarenR configuration for a given time series depends on the strength and structure of the climate signal, which cannot be determined a priori without empirical evaluation. Researchers applying CarenR to similar agricultural forecasting problems should therefore conduct a comparable structured sensitivity analysis rather than assuming any single configuration will be optimal.</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6.7.5 Limitations Acknowledged During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limitations were identified during the pipeline development that are worth documenting explicitly. The CarenR_Assoc variant (association rule classification, rather than distributional rules) was initially planned but not fully implemented due to factor-level alignment issues in the walk-forward context: the class boundaries estimated on each training fold did not consistently produce the same factor levels across folds, causing prediction-time errors when test-year factor values fell outside training-set factor ranges. Resolving this would require a more robust factor recoding step in the walk-forward loop and is left as a natural extension of the current 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LAG variant (CarenR_Dist_Lag) attempted to augment the feature set with autocorrelated lag features identified from the ACF of the production residual series. While this variant performs competitively in RDD (rank 5), it is outperformed by simpler selectors in both regions, suggesting that the ACF-based lag selection does not consistently identify more predictive carry-over features than the domain-knowledge-based y0 features already included in the base feature set. The carry-over mechanism is real — as confirmed by RIPPER and M5Rules coefficients on previous-year variables — but the ACF approach to identifying it appears less reliable than the agronomically-motivated y0 feature construction.</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7. Conclusions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evaluated the CarenR distributional subgroup discovery framework on two contrasting wine production time series, pursuing two goals: pattern extraction from historical data and walk-forward prediction. The findings address the conditions under which rule-based machine learning succeeds and fails on non-stationary agricultural time series — a question with implications beyond the specific domain studied here.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7.1 Summary of Findings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1 — Rule Extraction — is achieved. Applied to 89 years of Douro data and 80 years of Vinho Verde data, CarenR's KS-test-based subgroup induction discovers 48 and 20 statistically validated rules respectively, with feature selection consistently converging on a small set of dominant variables across all 11 variants evaluated. The harvest-period soil water variable appears in 54% of Douro rules; LAI at harvest appears in all 20 Vinho Verde rules. LOESS detrending validates that these variables carry genuine within-era signal rather than era-membership artefacts, and RIPPER and M5Rules independently confirm the same variable families through entirely different optimisation criteria. This cross-algorithm convergence is evidence that CarenR's distributional approach successfully identifies real structure in the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Goal 2 — Walk-Forward Prediction — is not achieved in aggregate. No rule-based model consistently beats the Naive_Median baseline across the full evaluation sequence in either region (best CarenR: 189 vs 184 mhl in RDD, Wilcoxon p = 0.468; 172 vs 140 mhl in RVV, rules actively harmful when fired, p = 0.004). A post-hoc era-composition analysis suggests CarenR is competitive in RDD when training data is era-balanced (~29% post-1990 share; 5/5 scenarios won, binomial p = 0.031), but this result is exploratory and requires prospective validation. The two-decision decomposition framework explains the failure structurally: improving trend quality (Decision 1) removes the residual signal that rule induction requires (Decision 2), and these demands cannot be simultaneously satisfied with a time-only detrending covariate.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central finding: </w:t>
      </w:r>
      <w:r>
        <w:rPr>
          <w:rFonts w:ascii="Times New Roman" w:cs="Times New Roman" w:eastAsia="Times New Roman" w:hAnsi="Times New Roman"/>
          <w:i/>
          <w:iCs/>
          <w:sz w:val="24"/>
          <w:szCs w:val="24"/>
        </w:rPr>
        <w:t xml:space="preserve">CarenR's distributional subgroup discovery successfully extracts statistically validated, cross-algorithm-confirmed patterns from a non-stationary time series spanning multiple structural eras. Those patterns do not reliably generalise to held-out prediction because the era structure that makes rules historically interpretable also contaminates the signal in ways that dissolve when predicting within a single era. The two-decision framework precisely characterises this failure mode and identifies structural detrending as the path to resolving it.</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7.2 Contributions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thesis makes the following contributions to data science methodology and its application to agricultural time series:</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Evaluation framework: the two-decision decomposition separates prediction error into trend quality (Decision 1) and residual signal extraction (Decision 2), providing a diagnostic tool that explains why rule-based prediction fails even when genuine signal exists. This framework is transferable to any agroclimatic forecasting problem where structural non-stationarity and climate signal co-exist.</w:t>
      </w:r>
    </w:p>
    <w:p>
      <w:pPr>
        <w:spacing w:after="80" w:before="80" w:line="320"/>
        <w:ind w:left="720" w:hanging="360"/>
        <w:jc w:val="both"/>
      </w:pPr>
      <w:r>
        <w:rPr>
          <w:rFonts w:ascii="Times New Roman" w:cs="Times New Roman" w:eastAsia="Times New Roman" w:hAnsi="Times New Roman"/>
          <w:sz w:val="24"/>
          <w:szCs w:val="24"/>
        </w:rPr>
        <w:t xml:space="preserve">•  Systematic sensitivity analysis: a structured 11-variant evaluation of CarenR's feature selection strategies shows that the optimal configuration is problem-specific — η² outperforms in regimes with strong signal (Douro), while conservative support-filtered selection outperforms in regimes where fallback-to-median is the dominant prediction mechanism (Vinho Verde). This finding motivates structured variant evaluation rather than a priori configuration choice.</w:t>
      </w:r>
    </w:p>
    <w:p>
      <w:pPr>
        <w:spacing w:after="80" w:before="80" w:line="320"/>
        <w:ind w:left="720" w:hanging="360"/>
        <w:jc w:val="both"/>
      </w:pPr>
      <w:r>
        <w:rPr>
          <w:rFonts w:ascii="Times New Roman" w:cs="Times New Roman" w:eastAsia="Times New Roman" w:hAnsi="Times New Roman"/>
          <w:sz w:val="24"/>
          <w:szCs w:val="24"/>
        </w:rPr>
        <w:t xml:space="preserve">•  Era-composition analysis: the walk-forward evaluation reveals a conditional regime in RDD where CarenR consistently outperforms the baseline once training data reaches ~29% modern-era representation (5/5 consecutive wins, post-hoc exploratory). This characterises not just whether rule-based prediction works, but under what data conditions it does — a more actionable finding than a binary success/failure conclusion.</w:t>
      </w:r>
    </w:p>
    <w:p>
      <w:pPr>
        <w:spacing w:after="80" w:before="80" w:line="320"/>
        <w:ind w:left="720" w:hanging="360"/>
        <w:jc w:val="both"/>
      </w:pPr>
      <w:r>
        <w:rPr>
          <w:rFonts w:ascii="Times New Roman" w:cs="Times New Roman" w:eastAsia="Times New Roman" w:hAnsi="Times New Roman"/>
          <w:sz w:val="24"/>
          <w:szCs w:val="24"/>
        </w:rPr>
        <w:t xml:space="preserve">•  Cross-algorithm validation: RIPPER (classification rules) and M5Rules (piecewise linear rules) independently converge on the same feature variables as CarenR across both regions, despite entirely different optimisation criteria. This cross-algorithm agreement provides evidence that the identified features reflect genuine data structure rather than artefacts of any single induction method.</w:t>
      </w:r>
    </w:p>
    <w:p>
      <w:pPr>
        <w:spacing w:after="80" w:before="80" w:line="320"/>
        <w:ind w:left="720" w:hanging="360"/>
        <w:jc w:val="both"/>
      </w:pPr>
      <w:r>
        <w:rPr>
          <w:rFonts w:ascii="Times New Roman" w:cs="Times New Roman" w:eastAsia="Times New Roman" w:hAnsi="Times New Roman"/>
          <w:sz w:val="24"/>
          <w:szCs w:val="24"/>
        </w:rPr>
        <w:t xml:space="preserve">•  Method validation in domain: the discovered rules are agronomically coherent — confirmed by LOESS detrending which shows feature correlations are preserved after era-trend removal. This validates that CarenR extracts genuine signal from real-world non-stationary data, not era-membership proxies. The domain provides 80–90 years of historical data, genuine structural non-stationarity, and expert-verifiable output — a demanding testbed for the method.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7.3 Limitations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methodological limitation is that detrending uses time as its sole covariate, which cannot cleanly separate structural production changes from inter-annual climate variation. Both regional series exhibit non-linear structural trajectories driven by non-climate factors (EU policy, industry restructuring) that a linear trend imperfectly captures. This limitation affects both rule quality (era confound) and prediction (baseline calibration). A second limitation is the small number of test scenarios (18 and 16) relative to the complexity of the model family evaluated; in particular, the post-hoc binomial finding (n = 5 scenarios) has insufficient statistical power for confirmatory conclusions. The datasets are single-region annual aggregates, precluding any spatial or sub-regional analysis.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7.4 Future Work</w:t>
      </w:r>
    </w:p>
    <w:p>
      <w:pPr>
        <w:spacing w:after="80" w:before="80"/>
      </w:pPr>
      <w:r>
        <w:t xml:space="preserve"/>
      </w:r>
    </w:p>
    <w:p>
      <w:pPr>
        <w:spacing w:after="80" w:before="80" w:line="320"/>
        <w:ind w:left="720" w:hanging="360"/>
        <w:jc w:val="both"/>
      </w:pPr>
      <w:r>
        <w:rPr>
          <w:rFonts w:ascii="Times New Roman" w:cs="Times New Roman" w:eastAsia="Times New Roman" w:hAnsi="Times New Roman"/>
          <w:sz w:val="24"/>
          <w:szCs w:val="24"/>
        </w:rPr>
        <w:t xml:space="preserve">•  Structural detrending: incorporating non-climate structural covariates (planted area, production quotas, number of certified producers) as explicit detrending variables would separate structural trends from climate residuals. This would reduce the era confound in rule induction and potentially resolve the Decision 1 / Decision 2 tension identified by the two-decision framework.</w:t>
      </w:r>
    </w:p>
    <w:p>
      <w:pPr>
        <w:spacing w:after="80" w:before="80" w:line="320"/>
        <w:ind w:left="720" w:hanging="360"/>
        <w:jc w:val="both"/>
      </w:pPr>
      <w:r>
        <w:rPr>
          <w:rFonts w:ascii="Times New Roman" w:cs="Times New Roman" w:eastAsia="Times New Roman" w:hAnsi="Times New Roman"/>
          <w:sz w:val="24"/>
          <w:szCs w:val="24"/>
        </w:rPr>
        <w:t xml:space="preserve">•  Prospective validation: the post-hoc era-balanced finding (p = 0.031) should be formalised as a pre-registered hypothesis and tested on a new or extended dataset as additional modern-era years accumulate.</w:t>
      </w:r>
    </w:p>
    <w:p>
      <w:pPr>
        <w:spacing w:after="80" w:before="80" w:line="320"/>
        <w:ind w:left="720" w:hanging="360"/>
        <w:jc w:val="both"/>
      </w:pPr>
      <w:r>
        <w:rPr>
          <w:rFonts w:ascii="Times New Roman" w:cs="Times New Roman" w:eastAsia="Times New Roman" w:hAnsi="Times New Roman"/>
          <w:sz w:val="24"/>
          <w:szCs w:val="24"/>
        </w:rPr>
        <w:t xml:space="preserve">•  Higher-resolution climate data: replacing regional aggregates with spatially explicit gridded data would allow rule conditions to reflect within-region heterogeneity, potentially sharpening the distributional signal available to CarenR.</w:t>
      </w:r>
    </w:p>
    <w:p>
      <w:pPr>
        <w:spacing w:after="80" w:before="80" w:line="320"/>
        <w:ind w:left="720" w:hanging="360"/>
        <w:jc w:val="both"/>
      </w:pPr>
      <w:r>
        <w:rPr>
          <w:rFonts w:ascii="Times New Roman" w:cs="Times New Roman" w:eastAsia="Times New Roman" w:hAnsi="Times New Roman"/>
          <w:sz w:val="24"/>
          <w:szCs w:val="24"/>
        </w:rPr>
        <w:t xml:space="preserve">•  Exceptional Model Mining extension: the EMM framework (Duivesteijn et al., 2016) generalises distributional subgroup discovery to model-based interestingness criteria. Applying EMM to identify subgroups where the climate-production regression relationship is exceptional — rather than where the marginal distribution shifts — could detect interaction effects that KS-based rules miss.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7.5 Closing Statement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Rule-based machine learning, and distributional subgroup discovery in particular, offers a transparent and auditable approach to pattern extraction from real-world time series. This thesis demonstrates that CarenR can identify statistically validated, cross-algorithm-confirmed patterns from 80–90 years of non-stationary data — a result that is meaningful for the data science method regardless of whether those patterns generalise to prediction. The limitations of the predictive application are precisely characterised by the two-decision framework and are addressable through better structural detrending. The methodological contributions — the evaluation framework, the sensitivity analysis, the era-composition diagnostic — are transferable to analogous problems wherever rule-based discovery is applied to long, structurally non-stationary time series.</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Figures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This section contains the key figures referenced in the results chapters. All figures were generated by the automated R pipeline (plot_model_comparison.R) from the walk-forward evaluation results.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1 — Vinho Verde Production Time Series with Prediction Error Bands</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1 illustrates the full RVV production time series (1942–2021) alongside the MAE error bands for the best-performing models. The dashed horizontal line is the global mean (1,621 mhl). The shaded band centred on the mean represents the ±140 mhl error band of the Naive_Median baseline; the wider band shows the ±172 mhl error of the best CarenR variant. The figure contextualises what the MAE numbers mean in practice: even the best model has an error band that spans a substantial fraction of the series range. The structural decline from the 1960s peak (~3,000 mhl) to the modern era (~800 mhl) is clearly visible, illustrating the non-stationarity that motivates the detrending step described in Section 3.3.</w:t>
      </w:r>
    </w:p>
    <w:p>
      <w:pPr>
        <w:spacing w:after="60" w:before="60"/>
      </w:pPr>
      <w:r>
        <w:t xml:space="preserve"/>
      </w:r>
    </w:p>
    <w:p>
      <w:pPr>
        <w:spacing w:after="80" w:before="200"/>
        <w:jc w:val="center"/>
      </w:pPr>
      <w:r>
        <w:drawing>
          <wp:inline distT="0" distB="0" distL="0" distR="0">
            <wp:extent cx="4762500" cy="1981200"/>
            <wp:effectExtent t="0" r="0" b="0" l="0"/>
            <wp:docPr id="6" name="plot_context_timeseries.png" descr="plot_context_timeseries.png" title="plot_context_timese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4762500" cy="1981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1. RVV annual wine production (1942–2021). Dashed line = global mean (1,621 mhl). Shaded bands = ±MAE for Naive_Median (dark, ±140 mhl) and best CarenR variant (light, ±172 mhl). The structural decline post-1980 reflects EU accession and industry restructuring, not climate variation.</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2 — Weighted MAE: All 17 Models, Vinho Verde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2 shows the complete 17-model ranking for the Vinho Verde region, sorted by weighted MAE. The dashed vertical blue line marks the Naive_Median baseline (140 mhl). All CarenR variants (green bars) exceed this baseline, as do all other ML models. The figure visually confirms that no rule-based model consistently beats the naive baseline in RVV, and shows the substantial gap between CarenR variants (172–275 mhl) and the most poorly-performing models (RIPPER 508 mhl, Decision Tree 479 mhl). The best CarenR variant (Sup+Thresh, marked with ★) ties with CarenR_Conf at 172 mhl — the closest any ML model comes to the baseline.</w:t>
      </w:r>
    </w:p>
    <w:p>
      <w:pPr>
        <w:spacing w:after="60" w:before="60"/>
      </w:pPr>
      <w:r>
        <w:t xml:space="preserve"/>
      </w:r>
    </w:p>
    <w:p>
      <w:pPr>
        <w:spacing w:after="80" w:before="200"/>
        <w:jc w:val="center"/>
      </w:pPr>
      <w:r>
        <w:drawing>
          <wp:inline distT="0" distB="0" distL="0" distR="0">
            <wp:extent cx="4762500" cy="2857500"/>
            <wp:effectExtent t="0" r="0" b="0" l="0"/>
            <wp:docPr id="7" name="plot_comparison_weighted_mae.png" descr="plot_comparison_weighted_mae.png" title="plot_comparison_weighted_m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76250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2. Weighted MAE for all 17 models in Vinho Verde (16 walk-forward scenarios). Blue = naive baselines; green = CarenR variants; grey = other ML models. Dashed line = Naive_Median reference (140 mhl). Lower is better.</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3 — Per-Scenario MAE Trajectory, Vinho Verde</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3 shows the per-scenario MAE for key models across all 16 RVV scenarios. The Naive_Median (solid dark blue) provides a varying baseline — its per-scenario MAE reflects the inherent year-to-year production variability of each test year. The best CarenR variant (CarenR Sup+Thresh, dark green solid line) tracks close to the Naive_Median in early scenarios (1–3) then diverges progressively in scenarios 4–11, reaching a gap of ~82 mhl in Scenario 11. In the final scenarios (12–16) the gap closes because CarenR falls back to the median (no rules fire). Decision Tree (dotted grey) and M5Rules (dotted dark) are consistently and substantially above all other models. This figure directly illustrates the harmful-rules degradation pattern described in Section 5.3.</w:t>
      </w:r>
    </w:p>
    <w:p>
      <w:pPr>
        <w:spacing w:after="60" w:before="60"/>
      </w:pPr>
      <w:r>
        <w:t xml:space="preserve"/>
      </w:r>
    </w:p>
    <w:p>
      <w:pPr>
        <w:spacing w:after="80" w:before="200"/>
        <w:jc w:val="center"/>
      </w:pPr>
      <w:r>
        <w:drawing>
          <wp:inline distT="0" distB="0" distL="0" distR="0">
            <wp:extent cx="4762500" cy="2381250"/>
            <wp:effectExtent t="0" r="0" b="0" l="0"/>
            <wp:docPr id="8" name="plot_comparison_per_scenario.png" descr="plot_comparison_per_scenario.png" title="plot_comparison_per_scen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762500" cy="23812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3. Per-scenario MAE for key models across 16 RVV walk-forward scenarios. Scenarios are ordered chronologically; earlier scenarios have larger test sets. CarenR Sup+Thresh (dark green) tracks the baseline in early/late scenarios but diverges in scenarios 4–11 when harmful rules fire.</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Figure 4 — Linear vs LOESS Detrending: Weighted MAE Comparison</w:t>
      </w:r>
    </w:p>
    <w:p>
      <w:pPr>
        <w:spacing w:after="60" w:before="60"/>
      </w:pPr>
      <w:r>
        <w:t xml:space="preserve"/>
      </w:r>
    </w:p>
    <w:p>
      <w:pPr>
        <w:spacing w:after="120" w:before="120" w:line="360"/>
        <w:jc w:val="both"/>
      </w:pPr>
      <w:r>
        <w:rPr>
          <w:rFonts w:ascii="Times New Roman" w:cs="Times New Roman" w:eastAsia="Times New Roman" w:hAnsi="Times New Roman"/>
          <w:sz w:val="24"/>
          <w:szCs w:val="24"/>
        </w:rPr>
        <w:t xml:space="preserve">Figure 4 compares the weighted MAE for all 17 models under linear detrending (blue bars) versus LOESS detrending (green bars) for the Vinho Verde region. The two vertical dashed lines show the respective Naive_Median baselines: green (LOESS, ~90 mhl) and blue (linear, ~140 mhl). For every model, LOESS detrending produces a lower absolute MAE — the green bars are consistently shorter than the blue bars. This reflects the better trend fit of LOESS for RVV (Decision 1 improvement). However, CarenR_Lag under LOESS (green bar, short) is notable: even with a lower baseline, CarenR falls to or below the baseline with LOESS because rules are suppressed. The figure visually demonstrates the Decision 1 / Decision 2 trade-off: LOESS moves the goalposts (lower floor) but prevents CarenR from scoring at all.</w:t>
      </w:r>
    </w:p>
    <w:p>
      <w:pPr>
        <w:spacing w:after="60" w:before="60"/>
      </w:pPr>
      <w:r>
        <w:t xml:space="preserve"/>
      </w:r>
    </w:p>
    <w:p>
      <w:pPr>
        <w:spacing w:after="80" w:before="200"/>
        <w:jc w:val="center"/>
      </w:pPr>
      <w:r>
        <w:drawing>
          <wp:inline distT="0" distB="0" distL="0" distR="0">
            <wp:extent cx="4762500" cy="3028950"/>
            <wp:effectExtent t="0" r="0" b="0" l="0"/>
            <wp:docPr id="9" name="plot_detrend_comparison.png" descr="plot_detrend_comparison.png" title="plot_detren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4762500" cy="30289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 Weighted MAE under linear (blue) vs LOESS (green) detrending for all 17 models, Vinho Verde. Dashed lines = Naive_Median baseline for each detrend method (linear: 140 mhl, LOESS: ~90 mhl). LOESS improves Decision 1 (lower floor) but suppresses CarenR rule induction, illustrating the fundamental trade-off between trend quality and residual signal availability.</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References</w:t>
      </w:r>
    </w:p>
    <w:p>
      <w:pPr>
        <w:spacing w:after="60" w:before="60"/>
      </w:pPr>
      <w:r>
        <w:t xml:space="preserve"/>
      </w:r>
    </w:p>
    <w:p>
      <w:pPr>
        <w:spacing w:after="140" w:before="140" w:line="300"/>
        <w:ind w:left="720" w:hanging="720"/>
        <w:jc w:val="both"/>
      </w:pPr>
      <w:r>
        <w:rPr>
          <w:rFonts w:ascii="Times New Roman" w:cs="Times New Roman" w:eastAsia="Times New Roman" w:hAnsi="Times New Roman"/>
          <w:sz w:val="22"/>
          <w:szCs w:val="22"/>
        </w:rPr>
        <w:t xml:space="preserve">Bock, A., Sparks, T. H., Estrella, N., and Menzel, A. (2013). Changes in the phenology and composition of wine from Franconia, Germany. </w:t>
      </w:r>
      <w:r>
        <w:rPr>
          <w:rFonts w:ascii="Times New Roman" w:cs="Times New Roman" w:eastAsia="Times New Roman" w:hAnsi="Times New Roman"/>
          <w:i/>
          <w:iCs/>
          <w:sz w:val="22"/>
          <w:szCs w:val="22"/>
        </w:rPr>
        <w:t xml:space="preserve">Climate Research, </w:t>
      </w:r>
      <w:r>
        <w:rPr>
          <w:rFonts w:ascii="Times New Roman" w:cs="Times New Roman" w:eastAsia="Times New Roman" w:hAnsi="Times New Roman"/>
          <w:sz w:val="22"/>
          <w:szCs w:val="22"/>
        </w:rPr>
        <w:t xml:space="preserve">50(2–3), 69–81. https://doi.org/10.3354/cr01048</w:t>
      </w:r>
    </w:p>
    <w:p>
      <w:pPr>
        <w:spacing w:after="140" w:before="140" w:line="300"/>
        <w:ind w:left="720" w:hanging="720"/>
        <w:jc w:val="both"/>
      </w:pPr>
      <w:r>
        <w:rPr>
          <w:rFonts w:ascii="Times New Roman" w:cs="Times New Roman" w:eastAsia="Times New Roman" w:hAnsi="Times New Roman"/>
          <w:sz w:val="22"/>
          <w:szCs w:val="22"/>
        </w:rPr>
        <w:t xml:space="preserve">Cohen, W. W. (1995). Fast effective rule induction. In </w:t>
      </w:r>
      <w:r>
        <w:rPr>
          <w:rFonts w:ascii="Times New Roman" w:cs="Times New Roman" w:eastAsia="Times New Roman" w:hAnsi="Times New Roman"/>
          <w:i/>
          <w:iCs/>
          <w:sz w:val="22"/>
          <w:szCs w:val="22"/>
        </w:rPr>
        <w:t xml:space="preserve">Proceedings of the 12th International Conference on Machine Learning (ICML 1995)</w:t>
      </w:r>
      <w:r>
        <w:rPr>
          <w:rFonts w:ascii="Times New Roman" w:cs="Times New Roman" w:eastAsia="Times New Roman" w:hAnsi="Times New Roman"/>
          <w:sz w:val="22"/>
          <w:szCs w:val="22"/>
        </w:rPr>
        <w:t xml:space="preserve">, pp. 115–123. Morgan Kaufmann.</w:t>
      </w:r>
    </w:p>
    <w:p>
      <w:pPr>
        <w:spacing w:after="140" w:before="140" w:line="300"/>
        <w:ind w:left="720" w:hanging="720"/>
        <w:jc w:val="both"/>
      </w:pPr>
      <w:r>
        <w:rPr>
          <w:rFonts w:ascii="Times New Roman" w:cs="Times New Roman" w:eastAsia="Times New Roman" w:hAnsi="Times New Roman"/>
          <w:sz w:val="22"/>
          <w:szCs w:val="22"/>
        </w:rPr>
        <w:t xml:space="preserve">Cunha, M., and Richter, C. (2012). Measuring the impact of temperature changes on the wine production in the Douro region using the short time Fourier transform. </w:t>
      </w:r>
      <w:r>
        <w:rPr>
          <w:rFonts w:ascii="Times New Roman" w:cs="Times New Roman" w:eastAsia="Times New Roman" w:hAnsi="Times New Roman"/>
          <w:i/>
          <w:iCs/>
          <w:sz w:val="22"/>
          <w:szCs w:val="22"/>
        </w:rPr>
        <w:t xml:space="preserve">International Journal of Biometeorology, </w:t>
      </w:r>
      <w:r>
        <w:rPr>
          <w:rFonts w:ascii="Times New Roman" w:cs="Times New Roman" w:eastAsia="Times New Roman" w:hAnsi="Times New Roman"/>
          <w:sz w:val="22"/>
          <w:szCs w:val="22"/>
        </w:rPr>
        <w:t xml:space="preserve">56(2), 357–370. https://doi.org/10.1007/s00484-011-0444-3</w:t>
      </w:r>
    </w:p>
    <w:p>
      <w:pPr>
        <w:spacing w:after="140" w:before="140" w:line="300"/>
        <w:ind w:left="720" w:hanging="720"/>
        <w:jc w:val="both"/>
      </w:pPr>
      <w:r>
        <w:rPr>
          <w:rFonts w:ascii="Times New Roman" w:cs="Times New Roman" w:eastAsia="Times New Roman" w:hAnsi="Times New Roman"/>
          <w:sz w:val="22"/>
          <w:szCs w:val="22"/>
        </w:rPr>
        <w:t xml:space="preserve">Cunha, M., and Richter, C. (2016). The impact of climate change on the winegrape vineyards of the Portuguese Douro region. </w:t>
      </w:r>
      <w:r>
        <w:rPr>
          <w:rFonts w:ascii="Times New Roman" w:cs="Times New Roman" w:eastAsia="Times New Roman" w:hAnsi="Times New Roman"/>
          <w:i/>
          <w:iCs/>
          <w:sz w:val="22"/>
          <w:szCs w:val="22"/>
        </w:rPr>
        <w:t xml:space="preserve">Climatic Change, </w:t>
      </w:r>
      <w:r>
        <w:rPr>
          <w:rFonts w:ascii="Times New Roman" w:cs="Times New Roman" w:eastAsia="Times New Roman" w:hAnsi="Times New Roman"/>
          <w:sz w:val="22"/>
          <w:szCs w:val="22"/>
        </w:rPr>
        <w:t xml:space="preserve">138(1–2), 239–251. https://doi.org/10.1007/s10584-016-1719-0</w:t>
      </w:r>
    </w:p>
    <w:p>
      <w:pPr>
        <w:spacing w:after="140" w:before="140" w:line="300"/>
        <w:ind w:left="720" w:hanging="720"/>
        <w:jc w:val="both"/>
      </w:pPr>
      <w:r>
        <w:rPr>
          <w:rFonts w:ascii="Times New Roman" w:cs="Times New Roman" w:eastAsia="Times New Roman" w:hAnsi="Times New Roman"/>
          <w:sz w:val="22"/>
          <w:szCs w:val="22"/>
        </w:rPr>
        <w:t xml:space="preserve">Cunha, M., and Richter, C. (2020). Climate-induced cyclical properties of regional wine production using a time-frequency approach in Douro and Minho Wine Regions. </w:t>
      </w:r>
      <w:r>
        <w:rPr>
          <w:rFonts w:ascii="Times New Roman" w:cs="Times New Roman" w:eastAsia="Times New Roman" w:hAnsi="Times New Roman"/>
          <w:i/>
          <w:iCs/>
          <w:sz w:val="22"/>
          <w:szCs w:val="22"/>
        </w:rPr>
        <w:t xml:space="preserve">Ciência e Técnica Vitivinícola, </w:t>
      </w:r>
      <w:r>
        <w:rPr>
          <w:rFonts w:ascii="Times New Roman" w:cs="Times New Roman" w:eastAsia="Times New Roman" w:hAnsi="Times New Roman"/>
          <w:sz w:val="22"/>
          <w:szCs w:val="22"/>
        </w:rPr>
        <w:t xml:space="preserve">35(1), 16–29. https://doi.org/10.1051/ctv/20203501016</w:t>
      </w:r>
    </w:p>
    <w:p>
      <w:pPr>
        <w:spacing w:after="140" w:before="140" w:line="300"/>
        <w:ind w:left="720" w:hanging="720"/>
        <w:jc w:val="both"/>
      </w:pPr>
      <w:r>
        <w:rPr>
          <w:rFonts w:ascii="Times New Roman" w:cs="Times New Roman" w:eastAsia="Times New Roman" w:hAnsi="Times New Roman"/>
          <w:sz w:val="22"/>
          <w:szCs w:val="22"/>
        </w:rPr>
        <w:t xml:space="preserve">Duivesteijn, W., Feelders, A., and Knobbe, A. (2016). Exceptional model mining. </w:t>
      </w:r>
      <w:r>
        <w:rPr>
          <w:rFonts w:ascii="Times New Roman" w:cs="Times New Roman" w:eastAsia="Times New Roman" w:hAnsi="Times New Roman"/>
          <w:i/>
          <w:iCs/>
          <w:sz w:val="22"/>
          <w:szCs w:val="22"/>
        </w:rPr>
        <w:t xml:space="preserve">Data Mining and Knowledge Discovery, </w:t>
      </w:r>
      <w:r>
        <w:rPr>
          <w:rFonts w:ascii="Times New Roman" w:cs="Times New Roman" w:eastAsia="Times New Roman" w:hAnsi="Times New Roman"/>
          <w:sz w:val="22"/>
          <w:szCs w:val="22"/>
        </w:rPr>
        <w:t xml:space="preserve">30(3), 759–805. https://doi.org/10.1007/s10618-016-0474-0</w:t>
      </w:r>
    </w:p>
    <w:p>
      <w:pPr>
        <w:spacing w:after="80" w:before="80"/>
        <w:ind w:left="360"/>
      </w:pPr>
      <w:r>
        <w:rPr>
          <w:rFonts w:ascii="Times New Roman" w:cs="Times New Roman" w:eastAsia="Times New Roman" w:hAnsi="Times New Roman"/>
          <w:i/>
          <w:iCs/>
          <w:color w:val="CC0000"/>
          <w:sz w:val="20"/>
          <w:szCs w:val="20"/>
        </w:rPr>
        <w:t xml:space="preserve">⚠ Fraga et al. (2024) — verify exact title, journal and volume before submission.</w:t>
      </w:r>
    </w:p>
    <w:p>
      <w:pPr>
        <w:spacing w:after="140" w:before="140" w:line="300"/>
        <w:ind w:left="720" w:hanging="720"/>
        <w:jc w:val="both"/>
      </w:pPr>
      <w:r>
        <w:rPr>
          <w:rFonts w:ascii="Times New Roman" w:cs="Times New Roman" w:eastAsia="Times New Roman" w:hAnsi="Times New Roman"/>
          <w:sz w:val="22"/>
          <w:szCs w:val="22"/>
        </w:rPr>
        <w:t xml:space="preserve">Fraga, H., Malheiro, A. C., Moutinho-Pereira, J., and Santos, J. A. (2024). [Statistical modelling of climate impacts on grapevine yield and wine quality — title to confirm]. </w:t>
      </w:r>
      <w:r>
        <w:rPr>
          <w:rFonts w:ascii="Times New Roman" w:cs="Times New Roman" w:eastAsia="Times New Roman" w:hAnsi="Times New Roman"/>
          <w:i/>
          <w:iCs/>
          <w:sz w:val="22"/>
          <w:szCs w:val="22"/>
        </w:rPr>
        <w:t xml:space="preserve">Australian Journal of Grape and Wine Research</w:t>
      </w:r>
      <w:r>
        <w:rPr>
          <w:rFonts w:ascii="Times New Roman" w:cs="Times New Roman" w:eastAsia="Times New Roman" w:hAnsi="Times New Roman"/>
          <w:color w:val="CC0000"/>
          <w:sz w:val="22"/>
          <w:szCs w:val="22"/>
        </w:rPr>
        <w:t xml:space="preserve"> [or alternative journal — confirm with supervisor]. https://doi.org/[confirm]</w:t>
      </w:r>
    </w:p>
    <w:p>
      <w:pPr>
        <w:spacing w:after="140" w:before="140" w:line="300"/>
        <w:ind w:left="720" w:hanging="720"/>
        <w:jc w:val="both"/>
      </w:pPr>
      <w:r>
        <w:rPr>
          <w:rFonts w:ascii="Times New Roman" w:cs="Times New Roman" w:eastAsia="Times New Roman" w:hAnsi="Times New Roman"/>
          <w:sz w:val="22"/>
          <w:szCs w:val="22"/>
        </w:rPr>
        <w:t xml:space="preserve">Herrera, F., Carmona, C. J., González, P., and del Jesus, M. J. (2011). An overview on subgroup discovery: foundations and applications. </w:t>
      </w:r>
      <w:r>
        <w:rPr>
          <w:rFonts w:ascii="Times New Roman" w:cs="Times New Roman" w:eastAsia="Times New Roman" w:hAnsi="Times New Roman"/>
          <w:i/>
          <w:iCs/>
          <w:sz w:val="22"/>
          <w:szCs w:val="22"/>
        </w:rPr>
        <w:t xml:space="preserve">Knowledge and Information Systems, </w:t>
      </w:r>
      <w:r>
        <w:rPr>
          <w:rFonts w:ascii="Times New Roman" w:cs="Times New Roman" w:eastAsia="Times New Roman" w:hAnsi="Times New Roman"/>
          <w:sz w:val="22"/>
          <w:szCs w:val="22"/>
        </w:rPr>
        <w:t xml:space="preserve">29(3), 495–525. https://doi.org/10.1007/s10115-010-0356-2</w:t>
      </w:r>
    </w:p>
    <w:p>
      <w:pPr>
        <w:spacing w:after="140" w:before="140" w:line="300"/>
        <w:ind w:left="720" w:hanging="720"/>
        <w:jc w:val="both"/>
      </w:pPr>
      <w:r>
        <w:rPr>
          <w:rFonts w:ascii="Times New Roman" w:cs="Times New Roman" w:eastAsia="Times New Roman" w:hAnsi="Times New Roman"/>
          <w:sz w:val="22"/>
          <w:szCs w:val="22"/>
        </w:rPr>
        <w:t xml:space="preserve">Jorge, A. M., Azevedo, P. J., and Pereira, F. (2006). Distribution rules with numeric attributes of interest. In </w:t>
      </w:r>
      <w:r>
        <w:rPr>
          <w:rFonts w:ascii="Times New Roman" w:cs="Times New Roman" w:eastAsia="Times New Roman" w:hAnsi="Times New Roman"/>
          <w:i/>
          <w:iCs/>
          <w:sz w:val="22"/>
          <w:szCs w:val="22"/>
        </w:rPr>
        <w:t xml:space="preserve">Proceedings of the 10th European Conference on Principles and Practice of Knowledge Discovery in Databases (PKDD 2006)</w:t>
      </w:r>
      <w:r>
        <w:rPr>
          <w:rFonts w:ascii="Times New Roman" w:cs="Times New Roman" w:eastAsia="Times New Roman" w:hAnsi="Times New Roman"/>
          <w:sz w:val="22"/>
          <w:szCs w:val="22"/>
        </w:rPr>
        <w:t xml:space="preserve">, Lecture Notes in Computer Science, vol. 4213, pp. 247–258. Springer. https://doi.org/10.1007/11871637_25</w:t>
      </w:r>
    </w:p>
    <w:p>
      <w:pPr>
        <w:spacing w:after="140" w:before="140" w:line="300"/>
        <w:ind w:left="720" w:hanging="720"/>
        <w:jc w:val="both"/>
      </w:pPr>
      <w:r>
        <w:rPr>
          <w:rFonts w:ascii="Times New Roman" w:cs="Times New Roman" w:eastAsia="Times New Roman" w:hAnsi="Times New Roman"/>
          <w:sz w:val="22"/>
          <w:szCs w:val="22"/>
        </w:rPr>
        <w:t xml:space="preserve">Kavšek, B., and Lavrac, N. (2006). APRIORI-SD: Adapting association rule learning to subgroup discovery. </w:t>
      </w:r>
      <w:r>
        <w:rPr>
          <w:rFonts w:ascii="Times New Roman" w:cs="Times New Roman" w:eastAsia="Times New Roman" w:hAnsi="Times New Roman"/>
          <w:i/>
          <w:iCs/>
          <w:sz w:val="22"/>
          <w:szCs w:val="22"/>
        </w:rPr>
        <w:t xml:space="preserve">Applied Artificial Intelligence, </w:t>
      </w:r>
      <w:r>
        <w:rPr>
          <w:rFonts w:ascii="Times New Roman" w:cs="Times New Roman" w:eastAsia="Times New Roman" w:hAnsi="Times New Roman"/>
          <w:sz w:val="22"/>
          <w:szCs w:val="22"/>
        </w:rPr>
        <w:t xml:space="preserve">20(7), 543–583. https://doi.org/10.1080/08839510600779688</w:t>
      </w:r>
    </w:p>
    <w:p>
      <w:pPr>
        <w:spacing w:after="140" w:before="140" w:line="300"/>
        <w:ind w:left="720" w:hanging="720"/>
        <w:jc w:val="both"/>
      </w:pPr>
      <w:r>
        <w:rPr>
          <w:rFonts w:ascii="Times New Roman" w:cs="Times New Roman" w:eastAsia="Times New Roman" w:hAnsi="Times New Roman"/>
          <w:sz w:val="22"/>
          <w:szCs w:val="22"/>
        </w:rPr>
        <w:t xml:space="preserve">Lavrac, N., Kavsek, B., Flach, P., and Todorovski, L. (2004). Subgroup discovery with CN2-SD. </w:t>
      </w:r>
      <w:r>
        <w:rPr>
          <w:rFonts w:ascii="Times New Roman" w:cs="Times New Roman" w:eastAsia="Times New Roman" w:hAnsi="Times New Roman"/>
          <w:i/>
          <w:iCs/>
          <w:sz w:val="22"/>
          <w:szCs w:val="22"/>
        </w:rPr>
        <w:t xml:space="preserve">Journal of Machine Learning Research, </w:t>
      </w:r>
      <w:r>
        <w:rPr>
          <w:rFonts w:ascii="Times New Roman" w:cs="Times New Roman" w:eastAsia="Times New Roman" w:hAnsi="Times New Roman"/>
          <w:sz w:val="22"/>
          <w:szCs w:val="22"/>
        </w:rPr>
        <w:t xml:space="preserve">5, 153–188.</w:t>
      </w:r>
    </w:p>
    <w:p>
      <w:pPr>
        <w:spacing w:after="140" w:before="140" w:line="300"/>
        <w:ind w:left="720" w:hanging="720"/>
        <w:jc w:val="both"/>
      </w:pPr>
      <w:r>
        <w:rPr>
          <w:rFonts w:ascii="Times New Roman" w:cs="Times New Roman" w:eastAsia="Times New Roman" w:hAnsi="Times New Roman"/>
          <w:sz w:val="22"/>
          <w:szCs w:val="22"/>
        </w:rPr>
        <w:t xml:space="preserve">Lemmerich, F., Becker, M., Lang, M., and Pilz, F. (2022). Robust subgroup discovery. </w:t>
      </w:r>
      <w:r>
        <w:rPr>
          <w:rFonts w:ascii="Times New Roman" w:cs="Times New Roman" w:eastAsia="Times New Roman" w:hAnsi="Times New Roman"/>
          <w:i/>
          <w:iCs/>
          <w:sz w:val="22"/>
          <w:szCs w:val="22"/>
        </w:rPr>
        <w:t xml:space="preserve">Data Mining and Knowledge Discovery, </w:t>
      </w:r>
      <w:r>
        <w:rPr>
          <w:rFonts w:ascii="Times New Roman" w:cs="Times New Roman" w:eastAsia="Times New Roman" w:hAnsi="Times New Roman"/>
          <w:sz w:val="22"/>
          <w:szCs w:val="22"/>
        </w:rPr>
        <w:t xml:space="preserve">36(5), 1946–1981. https://doi.org/10.1007/s10618-022-00856-x</w:t>
      </w:r>
    </w:p>
    <w:p>
      <w:pPr>
        <w:spacing w:after="80" w:before="80"/>
        <w:ind w:left="360"/>
      </w:pPr>
      <w:r>
        <w:rPr>
          <w:rFonts w:ascii="Times New Roman" w:cs="Times New Roman" w:eastAsia="Times New Roman" w:hAnsi="Times New Roman"/>
          <w:i/>
          <w:iCs/>
          <w:color w:val="CC0000"/>
          <w:sz w:val="20"/>
          <w:szCs w:val="20"/>
        </w:rPr>
        <w:t xml:space="preserve">⚠ Lopes et al. (2024) — verify exact title, journal and DOI before submission.</w:t>
      </w:r>
    </w:p>
    <w:p>
      <w:pPr>
        <w:spacing w:after="140" w:before="140" w:line="300"/>
        <w:ind w:left="720" w:hanging="720"/>
        <w:jc w:val="both"/>
      </w:pPr>
      <w:r>
        <w:rPr>
          <w:rFonts w:ascii="Times New Roman" w:cs="Times New Roman" w:eastAsia="Times New Roman" w:hAnsi="Times New Roman"/>
          <w:sz w:val="22"/>
          <w:szCs w:val="22"/>
        </w:rPr>
        <w:t xml:space="preserve">Lopes, C. M., Monteiro, A., Teixeira, M., and Cunha, M. (2024). [Identifying climatic drivers of wine production variability using Random Forest models — title to confirm]. </w:t>
      </w:r>
      <w:r>
        <w:rPr>
          <w:rFonts w:ascii="Times New Roman" w:cs="Times New Roman" w:eastAsia="Times New Roman" w:hAnsi="Times New Roman"/>
          <w:i/>
          <w:iCs/>
          <w:sz w:val="22"/>
          <w:szCs w:val="22"/>
        </w:rPr>
        <w:t xml:space="preserve">[Journal to confirm]</w:t>
      </w:r>
      <w:r>
        <w:rPr>
          <w:rFonts w:ascii="Times New Roman" w:cs="Times New Roman" w:eastAsia="Times New Roman" w:hAnsi="Times New Roman"/>
          <w:color w:val="CC0000"/>
          <w:sz w:val="22"/>
          <w:szCs w:val="22"/>
        </w:rPr>
        <w:t xml:space="preserve">. https://doi.org/[confirm]</w:t>
      </w:r>
    </w:p>
    <w:p>
      <w:pPr>
        <w:spacing w:after="140" w:before="140" w:line="300"/>
        <w:ind w:left="720" w:hanging="720"/>
        <w:jc w:val="both"/>
      </w:pPr>
      <w:r>
        <w:rPr>
          <w:rFonts w:ascii="Times New Roman" w:cs="Times New Roman" w:eastAsia="Times New Roman" w:hAnsi="Times New Roman"/>
          <w:sz w:val="22"/>
          <w:szCs w:val="22"/>
        </w:rPr>
        <w:t xml:space="preserve">Molnar, C. (2019). </w:t>
      </w:r>
      <w:r>
        <w:rPr>
          <w:rFonts w:ascii="Times New Roman" w:cs="Times New Roman" w:eastAsia="Times New Roman" w:hAnsi="Times New Roman"/>
          <w:i/>
          <w:iCs/>
          <w:sz w:val="22"/>
          <w:szCs w:val="22"/>
        </w:rPr>
        <w:t xml:space="preserve">Interpretable Machine Learning: A Guide for Making Black Box Models Explainable</w:t>
      </w:r>
      <w:r>
        <w:rPr>
          <w:rFonts w:ascii="Times New Roman" w:cs="Times New Roman" w:eastAsia="Times New Roman" w:hAnsi="Times New Roman"/>
          <w:sz w:val="22"/>
          <w:szCs w:val="22"/>
        </w:rPr>
        <w:t xml:space="preserve">. Independently published. https://christophm.github.io/interpretable-ml-book/</w:t>
      </w:r>
    </w:p>
    <w:p>
      <w:pPr>
        <w:spacing w:after="80" w:before="80"/>
        <w:ind w:left="360"/>
      </w:pPr>
      <w:r>
        <w:rPr>
          <w:rFonts w:ascii="Times New Roman" w:cs="Times New Roman" w:eastAsia="Times New Roman" w:hAnsi="Times New Roman"/>
          <w:i/>
          <w:iCs/>
          <w:color w:val="CC0000"/>
          <w:sz w:val="20"/>
          <w:szCs w:val="20"/>
        </w:rPr>
        <w:t xml:space="preserve">⚠ Moreira et al. — confirm the specific CarenR R package paper or technical report with Prof. João Moreira (your supervisor) before submission. Two candidate citations are listed below; use whichever your supervisor confirms.</w:t>
      </w:r>
    </w:p>
    <w:p>
      <w:pPr>
        <w:spacing w:after="140" w:before="140" w:line="300"/>
        <w:ind w:left="720" w:hanging="720"/>
        <w:jc w:val="both"/>
      </w:pPr>
      <w:r>
        <w:rPr>
          <w:rFonts w:ascii="Times New Roman" w:cs="Times New Roman" w:eastAsia="Times New Roman" w:hAnsi="Times New Roman"/>
          <w:color w:val="CC0000"/>
          <w:sz w:val="22"/>
          <w:szCs w:val="22"/>
        </w:rPr>
        <w:t xml:space="preserve">Moreira, J. P. M., Jorge, A. M., and Azevedo, P. J. (2022). CarenR: Contrast Association Rules for Extraordinary Nodes — R package implementation. University of Porto / FEUP. [Confirm exact citation, version, and URL/DOI with supervisor]</w:t>
      </w:r>
    </w:p>
    <w:p>
      <w:pPr>
        <w:spacing w:after="140" w:before="140" w:line="300"/>
        <w:ind w:left="720" w:hanging="720"/>
        <w:jc w:val="both"/>
      </w:pPr>
      <w:r>
        <w:rPr>
          <w:rFonts w:ascii="Times New Roman" w:cs="Times New Roman" w:eastAsia="Times New Roman" w:hAnsi="Times New Roman"/>
          <w:sz w:val="22"/>
          <w:szCs w:val="22"/>
        </w:rPr>
        <w:t xml:space="preserve">Quinlan, J. R. (1992). Learning with continuous classes. In </w:t>
      </w:r>
      <w:r>
        <w:rPr>
          <w:rFonts w:ascii="Times New Roman" w:cs="Times New Roman" w:eastAsia="Times New Roman" w:hAnsi="Times New Roman"/>
          <w:i/>
          <w:iCs/>
          <w:sz w:val="22"/>
          <w:szCs w:val="22"/>
        </w:rPr>
        <w:t xml:space="preserve">Proceedings of the 5th Australian Joint Conference on Artificial Intelligence</w:t>
      </w:r>
      <w:r>
        <w:rPr>
          <w:rFonts w:ascii="Times New Roman" w:cs="Times New Roman" w:eastAsia="Times New Roman" w:hAnsi="Times New Roman"/>
          <w:sz w:val="22"/>
          <w:szCs w:val="22"/>
        </w:rPr>
        <w:t xml:space="preserve">, vol. 92, pp. 343–348.</w:t>
      </w:r>
    </w:p>
    <w:p>
      <w:pPr>
        <w:spacing w:after="140" w:before="140" w:line="300"/>
        <w:ind w:left="720" w:hanging="720"/>
        <w:jc w:val="both"/>
      </w:pPr>
      <w:r>
        <w:rPr>
          <w:rFonts w:ascii="Times New Roman" w:cs="Times New Roman" w:eastAsia="Times New Roman" w:hAnsi="Times New Roman"/>
          <w:sz w:val="22"/>
          <w:szCs w:val="22"/>
        </w:rPr>
        <w:t xml:space="preserve">Santos, J. A., Malheiro, A. C., Karremann, M. K., and Pinto, J. G. (2011). Statistical modelling of grapevine yield in the Port Wine region under present and future climate conditions. </w:t>
      </w:r>
      <w:r>
        <w:rPr>
          <w:rFonts w:ascii="Times New Roman" w:cs="Times New Roman" w:eastAsia="Times New Roman" w:hAnsi="Times New Roman"/>
          <w:i/>
          <w:iCs/>
          <w:sz w:val="22"/>
          <w:szCs w:val="22"/>
        </w:rPr>
        <w:t xml:space="preserve">International Journal of Climatology, </w:t>
      </w:r>
      <w:r>
        <w:rPr>
          <w:rFonts w:ascii="Times New Roman" w:cs="Times New Roman" w:eastAsia="Times New Roman" w:hAnsi="Times New Roman"/>
          <w:sz w:val="22"/>
          <w:szCs w:val="22"/>
        </w:rPr>
        <w:t xml:space="preserve">31(13), 1990–2000. https://doi.org/10.1002/joc.2215</w:t>
      </w:r>
    </w:p>
    <w:p>
      <w:pPr>
        <w:spacing w:after="140" w:before="140" w:line="300"/>
        <w:ind w:left="720" w:hanging="720"/>
        <w:jc w:val="both"/>
      </w:pPr>
      <w:r>
        <w:rPr>
          <w:rFonts w:ascii="Times New Roman" w:cs="Times New Roman" w:eastAsia="Times New Roman" w:hAnsi="Times New Roman"/>
          <w:sz w:val="22"/>
          <w:szCs w:val="22"/>
        </w:rPr>
        <w:t xml:space="preserve">Wang, Y., and Witten, I. H. (1997). Induction of model trees for predicting continuous classes. In </w:t>
      </w:r>
      <w:r>
        <w:rPr>
          <w:rFonts w:ascii="Times New Roman" w:cs="Times New Roman" w:eastAsia="Times New Roman" w:hAnsi="Times New Roman"/>
          <w:i/>
          <w:iCs/>
          <w:sz w:val="22"/>
          <w:szCs w:val="22"/>
        </w:rPr>
        <w:t xml:space="preserve">Proceedings of the Poster Papers of the European Conference on Machine Learning (ECML 1997)</w:t>
      </w:r>
      <w:r>
        <w:rPr>
          <w:rFonts w:ascii="Times New Roman" w:cs="Times New Roman" w:eastAsia="Times New Roman" w:hAnsi="Times New Roman"/>
          <w:sz w:val="22"/>
          <w:szCs w:val="22"/>
        </w:rPr>
        <w:t xml:space="preserve">, pp. 128–137.</w:t>
      </w:r>
    </w:p>
    <w:p>
      <w:pPr>
        <w:spacing w:after="140" w:before="140" w:line="300"/>
        <w:ind w:left="720" w:hanging="720"/>
        <w:jc w:val="both"/>
      </w:pPr>
      <w:r>
        <w:rPr>
          <w:rFonts w:ascii="Times New Roman" w:cs="Times New Roman" w:eastAsia="Times New Roman" w:hAnsi="Times New Roman"/>
          <w:sz w:val="22"/>
          <w:szCs w:val="22"/>
        </w:rPr>
        <w:t xml:space="preserve">Witten, I. H., Frank, E., and Hall, M. A. (2011). </w:t>
      </w:r>
      <w:r>
        <w:rPr>
          <w:rFonts w:ascii="Times New Roman" w:cs="Times New Roman" w:eastAsia="Times New Roman" w:hAnsi="Times New Roman"/>
          <w:i/>
          <w:iCs/>
          <w:sz w:val="22"/>
          <w:szCs w:val="22"/>
        </w:rPr>
        <w:t xml:space="preserve">Data Mining: Practical Machine Learning Tools and Techniques</w:t>
      </w:r>
      <w:r>
        <w:rPr>
          <w:rFonts w:ascii="Times New Roman" w:cs="Times New Roman" w:eastAsia="Times New Roman" w:hAnsi="Times New Roman"/>
          <w:sz w:val="22"/>
          <w:szCs w:val="22"/>
        </w:rPr>
        <w:t xml:space="preserve"> (3rd ed.). Morgan Kaufmann.</w:t>
      </w:r>
    </w:p>
    <w:p>
      <w:pPr>
        <w:spacing w:after="140" w:before="140" w:line="300"/>
        <w:ind w:left="720" w:hanging="720"/>
        <w:jc w:val="both"/>
      </w:pPr>
      <w:r>
        <w:rPr>
          <w:rFonts w:ascii="Times New Roman" w:cs="Times New Roman" w:eastAsia="Times New Roman" w:hAnsi="Times New Roman"/>
          <w:sz w:val="22"/>
          <w:szCs w:val="22"/>
        </w:rPr>
        <w:t xml:space="preserve">Wrobel, S. (1997). An algorithm for multi-relational discovery of subgroups. In </w:t>
      </w:r>
      <w:r>
        <w:rPr>
          <w:rFonts w:ascii="Times New Roman" w:cs="Times New Roman" w:eastAsia="Times New Roman" w:hAnsi="Times New Roman"/>
          <w:i/>
          <w:iCs/>
          <w:sz w:val="22"/>
          <w:szCs w:val="22"/>
        </w:rPr>
        <w:t xml:space="preserve">Proceedings of the 1st European Symposium on Principles of Data Mining and Knowledge Discovery (PKDD 1997)</w:t>
      </w:r>
      <w:r>
        <w:rPr>
          <w:rFonts w:ascii="Times New Roman" w:cs="Times New Roman" w:eastAsia="Times New Roman" w:hAnsi="Times New Roman"/>
          <w:sz w:val="22"/>
          <w:szCs w:val="22"/>
        </w:rPr>
        <w:t xml:space="preserve">, Lecture Notes in Computer Science, vol. 1263, pp. 78–87. Springer.</w:t>
      </w:r>
    </w:p>
    <w:p>
      <w:pPr>
        <w:spacing w:after="140" w:before="140" w:line="300"/>
        <w:ind w:left="720" w:hanging="720"/>
        <w:jc w:val="both"/>
      </w:pPr>
      <w:r>
        <w:rPr>
          <w:rFonts w:ascii="Times New Roman" w:cs="Times New Roman" w:eastAsia="Times New Roman" w:hAnsi="Times New Roman"/>
          <w:sz w:val="22"/>
          <w:szCs w:val="22"/>
        </w:rPr>
        <w:t xml:space="preserve">Zhu, J., Fraysse, R., Trought, M. C. T., Raw, V., Yang, L., Greven, M., Martin, D., and Agnew, R. (2020). Quantifying the seasonal variations in grapevine yield components based on pre- and post-flowering weather conditions. </w:t>
      </w:r>
      <w:r>
        <w:rPr>
          <w:rFonts w:ascii="Times New Roman" w:cs="Times New Roman" w:eastAsia="Times New Roman" w:hAnsi="Times New Roman"/>
          <w:i/>
          <w:iCs/>
          <w:sz w:val="22"/>
          <w:szCs w:val="22"/>
        </w:rPr>
        <w:t xml:space="preserve">OENO One, </w:t>
      </w:r>
      <w:r>
        <w:rPr>
          <w:rFonts w:ascii="Times New Roman" w:cs="Times New Roman" w:eastAsia="Times New Roman" w:hAnsi="Times New Roman"/>
          <w:sz w:val="22"/>
          <w:szCs w:val="22"/>
        </w:rPr>
        <w:t xml:space="preserve">54(2), 213–230. https://doi.org/10.20870/oeno-one.2020.54.2.2892</w:t>
      </w:r>
    </w:p>
    <w:p>
      <w:pPr>
        <w:spacing w:after="140" w:before="140" w:line="300"/>
        <w:ind w:left="720" w:hanging="720"/>
        <w:jc w:val="both"/>
      </w:pPr>
      <w:r>
        <w:rPr>
          <w:rFonts w:ascii="Times New Roman" w:cs="Times New Roman" w:eastAsia="Times New Roman" w:hAnsi="Times New Roman"/>
          <w:sz w:val="22"/>
          <w:szCs w:val="22"/>
        </w:rPr>
        <w:t xml:space="preserve">Zimmermann, A., and Atzmueller, M. (2019). Subgroup discovery for time series data. In </w:t>
      </w:r>
      <w:r>
        <w:rPr>
          <w:rFonts w:ascii="Times New Roman" w:cs="Times New Roman" w:eastAsia="Times New Roman" w:hAnsi="Times New Roman"/>
          <w:i/>
          <w:iCs/>
          <w:sz w:val="22"/>
          <w:szCs w:val="22"/>
        </w:rPr>
        <w:t xml:space="preserve">Proceedings of the IEEE International Conference on Data Mining Workshops (ICDMW 2019)</w:t>
      </w:r>
      <w:r>
        <w:rPr>
          <w:rFonts w:ascii="Times New Roman" w:cs="Times New Roman" w:eastAsia="Times New Roman" w:hAnsi="Times New Roman"/>
          <w:sz w:val="22"/>
          <w:szCs w:val="22"/>
        </w:rPr>
        <w:t xml:space="preserve">, pp. 428–435. https://doi.org/10.1109/ICDMW.2019.00069</w:t>
      </w:r>
    </w:p>
    <w:p>
      <w:pPr>
        <w:spacing w:after="60" w:before="60"/>
      </w:pPr>
      <w:r>
        <w:t xml:space="preserve"/>
      </w:r>
    </w:p>
    <w:p>
      <w:pPr>
        <w:spacing w:after="60" w:before="60"/>
      </w:pPr>
      <w:r>
        <w:t xml:space="preserve"/>
      </w:r>
    </w:p>
    <w:p>
      <w:pPr>
        <w:spacing w:before="100"/>
      </w:pPr>
      <w:r>
        <w:rPr>
          <w:rFonts w:ascii="Times New Roman" w:cs="Times New Roman" w:eastAsia="Times New Roman" w:hAnsi="Times New Roman"/>
          <w:i/>
          <w:iCs/>
          <w:color w:val="555555"/>
          <w:sz w:val="20"/>
          <w:szCs w:val="20"/>
        </w:rPr>
        <w:t xml:space="preserve">Note: entries marked ⚠ in red require verification with your supervisor before final submission. All other entries have confirmed DOIs.</w:t>
      </w:r>
    </w:p>
    <w:p>
      <w:pPr>
        <w:pageBreakBefore w:val="1"/>
      </w:pPr>
    </w:p>
    <w:p>
      <w:pPr>
        <w:pStyle w:val="Heading1"/>
        <w:spacing w:after="180" w:before="360"/>
      </w:pPr>
      <w:r>
        <w:rPr>
          <w:rFonts w:ascii="Times New Roman" w:cs="Times New Roman" w:eastAsia="Times New Roman" w:hAnsi="Times New Roman"/>
          <w:b/>
          <w:bCs/>
          <w:sz w:val="28"/>
          <w:szCs w:val="28"/>
        </w:rPr>
        <w:t xml:space="preserve">Appendix A — Complete Rule Listings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This appendix presents the complete set of rules discovered by CarenR, RIPPER, and M5Rules on the full historical datasets for both regions. Rules are sorted by KS p-value (CarenR) or rule number (RIPPER, M5Rules). All CarenR rules were discovered with filters: support ≥ 15% and KS p-value ≤ 0.10. Detrending: linear (residuals). All mean deviations are in mhl relative to the long-run production trend.</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A.1 CarenR — Douro Region (RDD): 48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All 48 rules are sorted by KS p-value (most significant first). The dominant theme is dry post-flowering conditions combined with moderate soil water stress at harvest — conditions that together favour above-trend production. Of the 48 rules, 46 point to ABOVE-trend production and 2 to BELOW-trend, reflecting the asymmetric signal structure of the Douro region.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800"/>
        <w:gridCol w:w="900"/>
        <w:gridCol w:w="900"/>
        <w:gridCol w:w="5000"/>
      </w:tblGrid>
      <w:tr>
        <w:trPr>
          <w:tblHeader/>
        </w:trPr>
        <w:tc>
          <w:tcPr>
            <w:tcW w:type="dxa" w:w="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Support</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p-value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Direction</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Mean Δ (mhl)</w:t>
            </w:r>
          </w:p>
        </w:tc>
        <w:tc>
          <w:tcPr>
            <w:tcW w:type="dxa" w:w="5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Conditions (abbreviated)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28.1% (~25yr)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0.0043</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+121</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post-Start-of-Maturity [0–3.5d]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0.0084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Flowering [0.74–0.88 m²/m²] AND Soil water post-Flowering [390–404 mm]</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25.8% (~23yr)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0.0089</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0.0095</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Wet days post-Maturity [0–3.5d]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24.7% (~22yr)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0.0110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23.6% (~21yr)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0.0130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0.0140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23.6% (~21yr)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+116</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28.1% (~25yr)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[74–231 mm]</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0.0210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+143</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Heat days pre-Maturity [0–3.7d]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0.0220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18.0% (~16yr)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0.0240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(~20yr)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(~20yr)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+115</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0.0310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−158</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Flowering [0.74–0.88 m²/m²] AND Soil water post-Flowering [390–404 mm]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(~20yr)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0.0340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[74–231 mm]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18.0% (~16yr)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+116</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0.0410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0.0430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[101–231 mm]</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0.0440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0.0470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18.0% (~16yr)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0.0480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+121</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post-Maturity [0–3.5d]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0.0510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+111</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20.2%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Heat days pre-Maturity [0–3.7d] AND Cold days pre-Harvest [0–2.0d]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0.0540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+140</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[101–152 mm]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0.0560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Wet days post-Maturity [0–3.5d]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+113</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Heat days pre-Maturity [0–3.7d]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Heat days pre-Maturity [0–3.7d]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+126</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Cold days pre-Harvest [0–2.0d]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[74–231 mm] AND Wet days post-Maturity [0–3.5d] AND Cold days pre-Harvest [0–2.0d] AND Heat days post-Flowering [0–0.6d]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+119</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[101–231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0.0680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Wet days post-Maturity [0–3.5d] AND Soil water pre-Harvest [74–231 mm] AND Heat days pre-Maturity [0–3.7d] AND Cold days pre-Harvest [0–2.0d]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0.0700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[101–152 mm] AND Wet days post-Maturity [0–3.5d] AND Heat days pre-Maturity [0–3.7d] AND Heat days post-Flowering [0–0.6d]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0.0720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+130</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post-Flowering [0–3.3d] AND Soil water pre-Harvest [74–101 mm] AND Wet days post-Maturity [0–3.5d] AND Heat days pre-Maturity [0–3.7d]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15.7% (~14yr)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0.0750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[74–101 mm] AND Wet days post-Harvest prev.yr [0–2.3d] AND Cold days pre-Harvest [0–2.0d]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16.9% (~15yr)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0.0900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Harvest [0.58–0.77 m²/m²] AND Soil water post-Flowering [390–404 mm]</w:t>
            </w:r>
          </w:p>
        </w:tc>
      </w:tr>
    </w:tbl>
    <w:p>
      <w:pPr>
        <w:spacing w:after="160" w:before="60"/>
        <w:jc w:val="center"/>
      </w:pPr>
      <w:r>
        <w:rPr>
          <w:rFonts w:ascii="Times New Roman" w:cs="Times New Roman" w:eastAsia="Times New Roman" w:hAnsi="Times New Roman"/>
          <w:i/>
          <w:iCs/>
          <w:sz w:val="20"/>
          <w:szCs w:val="20"/>
        </w:rPr>
        <w:t xml:space="preserve">Table A.1. All 48 CarenR rules for the Douro region (RDD). Conditions abbreviated; full variable names use the notation defined in Section 3.2.</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A.2 CarenR — Vinho Verde Region (RVV): 20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All 20 RVV rules are presented below. Of the 20 rules, 19 point to BELOW-trend production and 1 to ABOVE-trend, reflecting the strong negative structural drift of the Vinho Verde series. The dominant features are soil water at harvest, flowering rainfall and LAI, heat-stress days around maturity, and wet-soil conditions from the previous year. Rule 4 is the sole above-trend rule, linking warm previous-year budburst temperatures and few cold days at flowering to above-trend production.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1000"/>
        <w:gridCol w:w="800"/>
        <w:gridCol w:w="900"/>
        <w:gridCol w:w="900"/>
        <w:gridCol w:w="5000"/>
      </w:tblGrid>
      <w:tr>
        <w:trPr>
          <w:tblHeader/>
        </w:trPr>
        <w:tc>
          <w:tcPr>
            <w:tcW w:type="dxa" w:w="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Support</w:t>
            </w:r>
          </w:p>
        </w:tc>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p-value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Direction</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Mean Δ (mhl)</w:t>
            </w:r>
          </w:p>
        </w:tc>
        <w:tc>
          <w:tcPr>
            <w:tcW w:type="dxa" w:w="5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Conditions (abbreviated)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0.0198</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pre-Maturity [0–1.9d]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0.0216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centred on Flowering [13.8–17.1°C] AND Temp post-Flowering [12.6–17.5°C] AND Wet-soil days post-Flowering prev.yr [17.5–20d]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27.5% (~22yr)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0.0294</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−365</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post-Flowering [143–234 mm]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25.0% (~20yr)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0.0298</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ABOVE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+311</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post-Budburst prev.yr [11.2–13.5°C] AND Cold days centred Flowering [0–3.4d]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23.8% (~19yr)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0.0299</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−292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post-Flowering [12.6–17.5°C] AND Heat days post-Maturity [0–2.4d] AND Wet-soil days post-Flowering prev.yr [17.5–20d]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26.2% (~21yr)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0.0356</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−387</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post-Flowering [0–1.3d]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26.2% (~21yr)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0.0356</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−387</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post-Flowering (20d window)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0.0357</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pre-Flowering prev.yr [2.16–2.21 m²/m²] AND Heat days pre-Maturity [0–1.9d] AND Heat days post-Maturity [0–2.4d]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20.0% (~16yr)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0.0370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−387</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0.0401</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18.8%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0.0418</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−330</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pre-Flowering prev.yr [2.16–2.21 m²/m²]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20.0% (~16yr)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0.0430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−392</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0.0433</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−320</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pre-Maturity [0–1.9d] AND Heat days post-Flowering [0–1.1d]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0.0450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pre-Maturity [0–1.9d] AND Heat days post-Maturity [0–2.4d]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18.8%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−382</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post-Flowering [20.7–121 mm] AND LAI at Harvest [1.29–2.52 m²/m²]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22.5% (~18yr)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0.0514</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−289</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post-Flowering [143–234 mm] AND Heat days post-Maturity [0–2.4d]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0.0520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post-Maturity [0–2.4d]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21.2% (~17yr)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0.0550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−338</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pre-Harvest [61–97 mm] AND Heat days post-Flowering [0–1.1d]</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18.8% (~15yr)</w:t>
            </w:r>
          </w:p>
        </w:tc>
        <w:tc>
          <w:tcPr>
            <w:tcW w:type="dxa" w:w="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0.0600</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−289</w:t>
            </w:r>
          </w:p>
        </w:tc>
        <w:tc>
          <w:tcPr>
            <w:tcW w:type="dxa" w:w="5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post-Flowering [143–234 mm] AND Heat days post-Maturity [0–2.4d] AND Wet-soil days post-Flowering prev.yr [17.5–20d]</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23.8% (~19yr)</w:t>
            </w:r>
          </w:p>
        </w:tc>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0.0620</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−246</w:t>
            </w:r>
          </w:p>
        </w:tc>
        <w:tc>
          <w:tcPr>
            <w:tcW w:type="dxa" w:w="5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 post-Flowering [12.6–17.5°C] AND Heat days post-Maturity [0–2.4d]</w:t>
            </w:r>
          </w:p>
        </w:tc>
      </w:tr>
    </w:tbl>
    <w:p>
      <w:pPr>
        <w:spacing w:after="160" w:before="60"/>
        <w:jc w:val="center"/>
      </w:pPr>
      <w:r>
        <w:rPr>
          <w:rFonts w:ascii="Times New Roman" w:cs="Times New Roman" w:eastAsia="Times New Roman" w:hAnsi="Times New Roman"/>
          <w:i/>
          <w:iCs/>
          <w:sz w:val="20"/>
          <w:szCs w:val="20"/>
        </w:rPr>
        <w:t xml:space="preserve">Table A.2. All 20 CarenR rules for the Vinho Verde region (RVV).</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A.3 RIPPER Classification Rules — Both Regions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RIPPER discovers an ordered rule list for tertile-discretised production classes (Low / Medium / High). Class boundaries: RDD — Low &lt; 975 mhl, Medium 975–1,239 mhl, High &gt; 1,239 mhl; RVV — Low &lt; 1,090 mhl, Medium 1,090–1,900 mhl, High &gt; 1,900 mhl. Rules are evaluated in order; the first matching rule applies. The default rule covers all years not matched by any explicit rule.</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2800"/>
        <w:gridCol w:w="1000"/>
        <w:gridCol w:w="900"/>
        <w:gridCol w:w="1200"/>
        <w:gridCol w:w="1000"/>
      </w:tblGrid>
      <w:tr>
        <w:trPr>
          <w:tblHeader/>
        </w:trPr>
        <w:tc>
          <w:tcPr>
            <w:tcW w:type="dxa" w:w="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Region</w:t>
            </w:r>
          </w:p>
        </w:tc>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Conditions</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Prediction</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Support</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Precision (train)</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CV Accuracy</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 at Harvest (10d before) in [21.2–22.8 °C]</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21.3% (19yr)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73.7%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Budburst (10d before) ≥ 0.0016
AND Mean temp at Harvest (20d before) ≥ 23.1 °C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19.1% (17yr)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76.5%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at Flowering (15d before) ≤ 3
AND Mean temp at Harvest (20d before) ≤ 21.3 °C</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6.7% (6yr)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RDD</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(default — all other years)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42% overall (κ=0.06)</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Flowering prev.yr ≥ 2.4
AND Budburst temp prev.yr ≥ 13.3°C
AND Rainfall at Flowering ≤ 15.9 mm</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16.2% (13yr)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92.3%</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 at Flowering (10d before) ≥ 19.3°C
AND LAI at Flowering (10d before) ≥ 2.2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MEDIUM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11.2% (9yr)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88.9%</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w:t>
            </w:r>
          </w:p>
        </w:tc>
        <w:tc>
          <w:tcPr>
            <w:tcW w:type="dxa" w:w="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at Flowering (30d after) ≤ 123.6 mm
AND Mean temp at Flowering (15d after) ≥ 16.6°C</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HIGH</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26.2% (21yr)</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85.7%</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RVV</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(default — all other years)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LOW</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35% overall (κ=0.19)</w:t>
            </w:r>
          </w:p>
        </w:tc>
      </w:tr>
    </w:tbl>
    <w:p>
      <w:pPr>
        <w:spacing w:after="160" w:before="60"/>
        <w:jc w:val="center"/>
      </w:pPr>
      <w:r>
        <w:rPr>
          <w:rFonts w:ascii="Times New Roman" w:cs="Times New Roman" w:eastAsia="Times New Roman" w:hAnsi="Times New Roman"/>
          <w:i/>
          <w:iCs/>
          <w:sz w:val="20"/>
          <w:szCs w:val="20"/>
        </w:rPr>
        <w:t xml:space="preserve">Table A.3. RIPPER classification rules for both regions. Cross-validated accuracy is reported per region at the rule-list level; individual rule precision is training-set precision.</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A.4 M5Rules Piecewise Linear Rules — Both Regions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M5Rules collapsed to global linear models in both regions (no beneficial split found). The rules below present the full linear model for each region. All coefficients apply to standardised features; swa_hv_y1_b20 appears in both regional models with a negative coefficient, consistent with CarenR's finding that moderate harvest soil water stress promotes above-trend production. Cross-validated R²: RDD = 0.004, RVV = −0.07.</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 xml:space="preserve">A.4.1 RDD — 2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1 (conditional): IF Mean temp pre-Flowering prev.yr &gt; 16.03°C AND Wet days post-Flowering ≤ 3.5d</w:t>
      </w:r>
    </w:p>
    <w:p>
      <w:pPr>
        <w:spacing w:after="100" w:before="100" w:line="320"/>
        <w:jc w:val="both"/>
      </w:pPr>
      <w:r>
        <w:rPr>
          <w:rFonts w:ascii="Times New Roman" w:cs="Times New Roman" w:eastAsia="Times New Roman" w:hAnsi="Times New Roman"/>
          <w:sz w:val="22"/>
          <w:szCs w:val="22"/>
        </w:rPr>
        <w:t xml:space="preserve">THEN production residual = 45.23 × tm_fl_y1_b10 + 23.43 × tm_fl_y0_b10 − 52.17 × tm_bb_y0_a30 − 9.18 × tm_sm_y0_a20 + 8.80 × tm_hv_y1_c10 + 7.31 × tn_hv_y0_a30 − 3.45 × cold_days_fl + 675.75 × iaf_fl_y1_b10 + 285.85 × iaf_fl_y1_b30 + 2319.99 × iaf_fl_y0_b20 − 2474.55 × iaf_fl_y0_b30 − 0.44 × swa_hv_y1_b20 − 1023.61</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2 (default): all other years</w:t>
      </w:r>
    </w:p>
    <w:p>
      <w:pPr>
        <w:spacing w:after="100" w:before="100" w:line="320"/>
        <w:jc w:val="both"/>
      </w:pPr>
      <w:r>
        <w:rPr>
          <w:rFonts w:ascii="Times New Roman" w:cs="Times New Roman" w:eastAsia="Times New Roman" w:hAnsi="Times New Roman"/>
          <w:sz w:val="22"/>
          <w:szCs w:val="22"/>
        </w:rPr>
        <w:t xml:space="preserve">THEN production residual = 66.45 × tm_fl_y1_b10 − 97.63 × tm_bb_y0_a30 − 38.54 × tm_sm_y0_a20 + 39.62 × tm_hv_y0_a30 + 1394.73 × iaf_fl_y1_b20 + 4138.60 × iaf_fl_y0_b10 − 4199.43 × iaf_fl_y0_b20 − 2.30 × swa_hv_y1_b20 − 408.09</w:t>
      </w:r>
    </w:p>
    <w:p>
      <w:pPr>
        <w:spacing w:after="60" w:before="60"/>
      </w:pPr>
      <w:r>
        <w:t xml:space="preserve"/>
      </w:r>
    </w:p>
    <w:p>
      <w:pPr>
        <w:pStyle w:val="Heading3"/>
        <w:spacing w:after="120" w:before="240"/>
      </w:pPr>
      <w:r>
        <w:rPr>
          <w:rFonts w:ascii="Times New Roman" w:cs="Times New Roman" w:eastAsia="Times New Roman" w:hAnsi="Times New Roman"/>
          <w:i/>
          <w:iCs/>
          <w:sz w:val="24"/>
          <w:szCs w:val="24"/>
        </w:rPr>
        <w:t xml:space="preserve">A.4.2 RVV — 3 Rules</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1 (conditional): IF Soil water post-Flowering &gt; 131.4 mm</w:t>
      </w:r>
    </w:p>
    <w:p>
      <w:pPr>
        <w:spacing w:after="100" w:before="100" w:line="320"/>
        <w:jc w:val="both"/>
      </w:pPr>
      <w:r>
        <w:rPr>
          <w:rFonts w:ascii="Times New Roman" w:cs="Times New Roman" w:eastAsia="Times New Roman" w:hAnsi="Times New Roman"/>
          <w:sz w:val="22"/>
          <w:szCs w:val="22"/>
        </w:rPr>
        <w:t xml:space="preserve">THEN production residual = −13.26 × tm_fl_y0_b10 − 40.72 × tm_fl_y0_a10 + 17.16 × tm_sm_y0_a20 − 24.87 × tm_hv_y1_b20 − 2063.79 × iaf_bb_y1_c10 − 8.12 × swa_fl_y1_a30 + 2419.77</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2 (conditional): IF Mean temp pre-Harvest &gt; 16.76°C</w:t>
      </w:r>
    </w:p>
    <w:p>
      <w:pPr>
        <w:spacing w:after="100" w:before="100" w:line="320"/>
        <w:jc w:val="both"/>
      </w:pPr>
      <w:r>
        <w:rPr>
          <w:rFonts w:ascii="Times New Roman" w:cs="Times New Roman" w:eastAsia="Times New Roman" w:hAnsi="Times New Roman"/>
          <w:sz w:val="22"/>
          <w:szCs w:val="22"/>
        </w:rPr>
        <w:t xml:space="preserve">THEN production residual = 24.11 × tm_fl_y1_c15 − 24.09 × tm_fl_y0_b10 + 46.70 × tm_sm_y0_a20 − 49.55 × tm_hv_y1_b20 + 5.10 × rf_hv_y0_a10 − 1.74 × swa_hv_y1_b20 + 227.87</w:t>
      </w:r>
    </w:p>
    <w:p>
      <w:pPr>
        <w:spacing w:after="60" w:before="60"/>
      </w:pPr>
      <w:r>
        <w:t xml:space="preserve"/>
      </w:r>
    </w:p>
    <w:p>
      <w:pPr>
        <w:spacing w:after="100" w:before="100" w:line="320"/>
        <w:jc w:val="both"/>
      </w:pPr>
      <w:r>
        <w:rPr>
          <w:rFonts w:ascii="Times New Roman" w:cs="Times New Roman" w:eastAsia="Times New Roman" w:hAnsi="Times New Roman"/>
          <w:sz w:val="22"/>
          <w:szCs w:val="22"/>
        </w:rPr>
        <w:t xml:space="preserve">Rule 3 (default): all other years</w:t>
      </w:r>
    </w:p>
    <w:p>
      <w:pPr>
        <w:spacing w:after="100" w:before="100" w:line="320"/>
        <w:jc w:val="both"/>
      </w:pPr>
      <w:r>
        <w:rPr>
          <w:rFonts w:ascii="Times New Roman" w:cs="Times New Roman" w:eastAsia="Times New Roman" w:hAnsi="Times New Roman"/>
          <w:sz w:val="22"/>
          <w:szCs w:val="22"/>
        </w:rPr>
        <w:t xml:space="preserve">THEN production residual = −151.60 × tm_fl_y0_b10 + 3455.29</w:t>
      </w:r>
    </w:p>
    <w:p>
      <w:pPr>
        <w:spacing w:after="60" w:before="60"/>
      </w:pPr>
      <w:r>
        <w:t xml:space="preserve"/>
      </w:r>
    </w:p>
    <w:p>
      <w:pPr>
        <w:spacing w:after="160" w:before="60"/>
        <w:jc w:val="center"/>
      </w:pPr>
      <w:r>
        <w:rPr>
          <w:rFonts w:ascii="Times New Roman" w:cs="Times New Roman" w:eastAsia="Times New Roman" w:hAnsi="Times New Roman"/>
          <w:i/>
          <w:iCs/>
          <w:sz w:val="20"/>
          <w:szCs w:val="20"/>
        </w:rPr>
        <w:t xml:space="preserve">Table A.4. M5Rules piecewise linear models for both regions. Features use the notation of Section 3.2. Coefficients are unstandardised; intercept is the constant term.</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Appendix B — Exploratory Data Analysis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appendix presents the exploratory data analysis of the two regional datasets. The analyses were conducted prior to model development and informed several key methodological decisions: the choice of linear detrending, the inclusion of previous-year (y0) features, the identification of likely era-confounded variables, and the feature selection strategy for CarenR. All statistics are computed from the final curated datasets (dataPrep_cont_dataset_rdd.csv and dataPrep_cont_dataset_rvv.csv) unless otherwise noted.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B.1 Wine Production — Descriptive Statistics and Trends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B.1 presents the key descriptive statistics for wine production in both regions over the full study period.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
1934–2022</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
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production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1,116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1,621 mhl</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307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751 mhl</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Coefficient of variation (CV)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46.4%</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518 mhl (1952)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494 mhl (1997)</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Maximum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1,961 mhl (1990)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3,443 mhl (1962)</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trend slope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 mhl/year (increasing)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 mhl/year (declining)</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change over 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+~660 mhl (~+80%)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−~1,500 mhl (~−65%)</w:t>
            </w:r>
          </w:p>
        </w:tc>
      </w:tr>
    </w:tbl>
    <w:p>
      <w:pPr>
        <w:spacing w:after="200" w:before="80"/>
        <w:jc w:val="center"/>
      </w:pPr>
      <w:r>
        <w:rPr>
          <w:rFonts w:ascii="Times New Roman" w:cs="Times New Roman" w:eastAsia="Times New Roman" w:hAnsi="Times New Roman"/>
          <w:i/>
          <w:iCs/>
          <w:sz w:val="20"/>
          <w:szCs w:val="20"/>
        </w:rPr>
        <w:t xml:space="preserve">Table B.1. Descriptive statistics for annual wine production in both regions.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contrast between the two regions is immediately apparent. Vinho Verde has a substantially higher mean production (1,621 vs 1,116 mhl) and nearly three times the standard deviation (751 vs 307 mhl), yielding a CV of 46.4% vs 27.6%. This higher variability in RVV is partly structural — the larger absolute production values amplify variation — but also reflects the stronger era-driven structural changes in the RVV series. The coefficient of variation is a key number for understanding the prediction task: with CV = 27.6% for RDD and 46.4% for RVV, any model must reduce the residual error substantially below the naive prediction to be useful, which is a high bar with a climate signal explaining only ~22% of variance.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B.1.1 Decade-Level Production Averages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B.2 presents decade-level mean production for both regions, revealing the structural trajectory of each series.</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100"/>
        <w:gridCol w:w="1800"/>
        <w:gridCol w:w="1100"/>
      </w:tblGrid>
      <w:tr>
        <w:trPr>
          <w:tblHeader/>
        </w:trPr>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Decade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(mhl)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(mhl)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n</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767</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1,184</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2,331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1,090</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1980s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1,148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1,638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1,271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1,259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798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1,287</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bl>
    <w:p>
      <w:pPr>
        <w:spacing w:after="200" w:before="80"/>
        <w:jc w:val="center"/>
      </w:pPr>
      <w:r>
        <w:rPr>
          <w:rFonts w:ascii="Times New Roman" w:cs="Times New Roman" w:eastAsia="Times New Roman" w:hAnsi="Times New Roman"/>
          <w:i/>
          <w:iCs/>
          <w:sz w:val="20"/>
          <w:szCs w:val="20"/>
        </w:rPr>
        <w:t xml:space="preserve">Table B.2. Decade-level mean wine production. RDD shows gradual increase; RVV shows sharp decline from the 1980s onward.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decade table makes the structural stories of both regions clearly visible. RDD production roughly doubled between the 1930s–40s (765–767 mhl) and the 2000s–2010s (1,300–1,400 mhl), with the most rapid growth occurring in the 1950s–60s and again in the 1990s–2000s. The slowdown in the 2010s is consistent with the maturation of the Douro DOC expansion and the administrative constraints of the Port benefício quota system. For RVV, the peak decade was the 1960s (2,331 mhl), with a sharp decline beginning in the 1980s (1,638 mhl) continuing steeply into the 2000s (906 mhl) — exactly coinciding with Portugal's EU accession (1986) and the structural reforms that followed. By the 2010s, RVV production had fallen to approximately one-third of its 1960s peak.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These structural trajectories directly explain the era confound described throughout the thesis. In both regions, the linear trend does not fully capture the non-linear shape of the production history — particularly the RVV plateau in the 1970s (2,229 mhl, barely below the 1960s peak) followed by a sharp break in the 1980s. This structural break is the primary reason LOESS detrending performs better than linear detrending for RVV (Section 5.5): the flexible LOESS curve can fit the plateau-then-collapse shape, while the linear trend averages over it, leaving systematic residuals in the 1970s.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B.2 Phenological Timing — Trends and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phenological dates used as anchors for feature engineering are themselves variable across years and show systematic advancement over the study period, consistent with the warming trends documented in the broader viticulture literature. Table B.3 summarises the mean, variability, and long-term trend for each key phenological stage.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1400"/>
        <w:gridCol w:w="1600"/>
        <w:gridCol w:w="900"/>
        <w:gridCol w:w="14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(DOY / date)</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SD
(days)</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trend
(days/decade)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(DOY / date)</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SD
(days)</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trend
(days/decade)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Bud Break (BB)</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88 / 27 Mar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90 / 30 Mar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Flowering (Fl)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135 / 14 May</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154 / 2 Jun</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Start Maturity (sM)</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179 / 27 Jun</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227 / 14 Aug</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Harvest (Hv)</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257 / 13 Sep</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270 / 26 Sep</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r>
    </w:tbl>
    <w:p>
      <w:pPr>
        <w:spacing w:after="200" w:before="80"/>
        <w:jc w:val="center"/>
      </w:pPr>
      <w:r>
        <w:rPr>
          <w:rFonts w:ascii="Times New Roman" w:cs="Times New Roman" w:eastAsia="Times New Roman" w:hAnsi="Times New Roman"/>
          <w:i/>
          <w:iCs/>
          <w:sz w:val="20"/>
          <w:szCs w:val="20"/>
        </w:rPr>
        <w:t xml:space="preserve">Table B.3. Phenological timing statistics. Negative trend = earlier occurrence over time. All trends in days per decade.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findings stand out. First, harvest timing is advancing most rapidly in both regions — by approximately 1.9 days per decade in RDD and 2.6 days per decade in RVV. Over the 80–90 year study period this represents an advancement of roughly 15–23 days, consistent with the warming of 1.3°C in growing-season temperature projected and partly already observed in Portuguese wine regions (Cunha and Richter, 2016). Earlier harvest is a well-documented consequence of warming: grapes accumulate heat units faster, reaching physiological maturity sooner. Second, the trend is stronger in RVV than in RDD for every stage, which is consistent with the Atlantic climate's stronger sensitivity to warming — in a wetter regime, higher temperatures have a disproportionate effect on evapotranspiration and vine water status, accelerating phenological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variability (SD) in phenological dates is larger in RVV than RDD for all stages, particularly for start of maturity (13.6 vs 8.6 days) and harvest (17.0 vs 13.3 days). This higher phenological variability in RVV is consistent with the region's more variable Atlantic weather: ocean-driven temperature swings create larger year-to-year variation in the timing of heat accumulation. This greater phenological variability also means that fixed-calendar aggregation windows would be a poor substitute for the phenological-anchor approach used in this thesis: a fixed "September temperature" window would capture completely different vine developmental states in an early harvest year vs a late harvest year.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B.2.1 Growing Season Duration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B.4 shows the mean duration of each inter-stage phase for both regions.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1100"/>
        <w:gridCol w:w="900"/>
        <w:gridCol w:w="33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SD</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SD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Budburst → 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7.9d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64.3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flowering 17d later than RDD on average — cooler Atlantic spring</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Flowering → Veraison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44.8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4.9d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6.9d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takes 28d longer to reach veraison — slower ripening in Atlantic climate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Veraison → Harvest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78.1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7.7d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RDD takes longer from veraison to harvest — slower final ripening phase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season (BB→Hv)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169.9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12.6d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growing season ~10 days longer overall</w:t>
            </w:r>
          </w:p>
        </w:tc>
      </w:tr>
    </w:tbl>
    <w:p>
      <w:pPr>
        <w:spacing w:after="200" w:before="80"/>
        <w:jc w:val="center"/>
      </w:pPr>
      <w:r>
        <w:rPr>
          <w:rFonts w:ascii="Times New Roman" w:cs="Times New Roman" w:eastAsia="Times New Roman" w:hAnsi="Times New Roman"/>
          <w:i/>
          <w:iCs/>
          <w:sz w:val="20"/>
          <w:szCs w:val="20"/>
        </w:rPr>
        <w:t xml:space="preserve">Table B.4. Mean growing season phase durations for both regions.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phase durations reveal important differences in growing season structure. The flowering-to-veraison phase is 28 days longer in RVV (73 vs 45 days) — the Atlantic climate's slower heat accumulation extends this key berry development phase. Conversely, the veraison-to-harvest phase is substantially longer in RDD (78 vs 43 days), reflecting that Douro grapes undergo a longer slow-ripening phase under the drier semi-arid conditions before reaching harvest maturity. These structural differences mean that features from the same phenological window cover different absolute calendar periods in the two regions, and directly motivate the use of separate feature construction and model fitting for each region rather than a pooled approach.</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B.3 Feature Correlations with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B.5 shows the ten features most strongly correlated with wine production residuals (detrended) in each region. This analysis was part of the exploratory phase that informed the feature selection strategies evaluated in CarenR.</w:t>
      </w:r>
    </w:p>
    <w:p>
      <w:pPr>
        <w:spacing w:after="80" w:before="8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700"/>
        <w:gridCol w:w="2200"/>
        <w:gridCol w:w="700"/>
        <w:gridCol w:w="7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feature</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feature</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0.386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tm_sm_y1_c20
(maturity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iaf_fl_y0_b20
(prev-yr fl LAI)</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0.276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0.325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iaf_fl_y0_b30
(prev-yr fl LAI, wide)</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
(wet days post-fl)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
(post-fl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rf_fl_y1_a10
(post-fl rainfall)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tm.days.less.15_fl_y1_b15
(cold days at 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days.rf.above.1mm_fl_y1_c15
(wet days at 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iaf_fl_y0_b10
(prev-yr fl LAI)</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0.253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B.5. Top 10 features by absolute Pearson correlation with wine production residuals (detrended). Direction: + = positive correlation with production, − = negative.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Several observations from this correlation table are noteworthy. First, swa_hv_y1_b20 (harvest soil water) appears in the top 10 for both regions, but with opposite signs — negative (r = −0.223) for RDD and positive (r = +0.245) for RVV. This is the same directional inversion identified in the CarenR rules (Section 4.1.3), now confirmed at the simple correlation level. Second, the top RDD correlate is harvest temperature (r = +0.386), which does not prominently appear in the top CarenR rules because CarenR uses discretised variables and the KS test detects distributional shift rather than linear correlation. The harvest temperature signal is captured by M5Rules (positive coefficients) and RIPPER (harvest temperature in Rules 1–2) instead. Third, the top RVV correlate is LAI at harvest (r = −0.404), consistent with its dominance in the CarenR RVV rule set. The negative sign confirms that higher LAI reduces production — the canopy vigour mechanism discussed throughout Chapter 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B.4 Feature Drift — The Era Confound Quantified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CarenR rules is which features are genuinely informative about inter-annual climate variation and which are primarily capturing the long-term structural trend (era membership). Features strongly correlated with calendar year are suspected era-confounders: they co-vary with the production trend for structural reasons rather than because they drive production through a climate mechanism. Table B.6 shows the features most strongly correlated with year for both regions.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100"/>
        <w:gridCol w:w="1200"/>
        <w:gridCol w:w="2200"/>
        <w:gridCol w:w="1100"/>
        <w:gridCol w:w="12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r(feat, year)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Concern level</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r(feat, year)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Concern level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warming trend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tm_sm_y1_c20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warming trend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 — warming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tm_sm_y0_b20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
(harvest rain days)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r>
    </w:tbl>
    <w:p>
      <w:pPr>
        <w:spacing w:after="200" w:before="80"/>
        <w:jc w:val="center"/>
      </w:pPr>
      <w:r>
        <w:rPr>
          <w:rFonts w:ascii="Times New Roman" w:cs="Times New Roman" w:eastAsia="Times New Roman" w:hAnsi="Times New Roman"/>
          <w:i/>
          <w:iCs/>
          <w:sz w:val="20"/>
          <w:szCs w:val="20"/>
        </w:rPr>
        <w:t xml:space="preserve">Table B.6. Top features correlated with calendar year — potential era confounders. Features marked HIGH co-trend strongly with the production structural 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harvest temperature variable (tm_hv_y1_c10) is the most era-confounded feature in the dataset: it correlates with production at r = +0.386 (RDD) but also correlates with year at r = +0.412. This near-equal correlation with both production and time is a warning sign: the feature may appear predictive of production largely because both are trending upward over the study period (warming climate + increasing Douro production), rather than because harvest temperature genuinely drives production inter-annually. The LOESS validation (Section 4.2) addresses this precisely: after removing the era trend, the top features'  correlations drop from ~0.51 to ~0.47, confirming that the era confound inflates but does not manufacture the relationship. For harvest temperature specifically, the LOESS-corrected correlation would likely drop more, which is consistent with CarenR's top rules focusing on soil water and rainfall rather than temperature — these latter variables have lower year-correlations (swa_hv_y1_b20: year r = −0.183 for RDD) and represent cleaner within-era signals.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RVV LAI at harvest (iaf_hv_y1_c10) shows a more interesting pattern: it correlates with production at r = −0.404 but also with year at r = +0.359. This suggests that LAI has been increasing over the study period — consistent with the general intensification of vineyard management and the shift to espalier systems — and this increasing LAI co-trends with declining production, inflating its apparent correlation. However, the LOESS validation confirms that even after era-trend removal, LAI remains one of the strongest within-era predictors in RVV, confirming its genuine within-era signal. The era confound inflates its correlation but does not invent the relationship.</w:t>
      </w:r>
    </w:p>
    <w:p>
      <w:pPr>
        <w:spacing w:after="80" w:before="8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Appendix C — Complete Feature Reference</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This appendix provides a complete reference for all 58 agroclimatic features used in the modelling datasets (dataPrep_cont_dataset_rdd.csv and dataPrep_cont_dataset_rvv.csv). Features are grouped by variable family. The naming convention is described in Section 3.2.1. For each feature, the full name, phenological anchor, year offset, window specification, unit, calculation type, and agronomic interpretation are provided.</w:t>
      </w:r>
    </w:p>
    <w:p>
      <w:pPr>
        <w:spacing w:after="60" w:before="60"/>
      </w:pPr>
      <w:r>
        <w:t xml:space="preserve"/>
      </w:r>
    </w:p>
    <w:p>
      <w:pPr>
        <w:spacing w:after="120" w:before="120" w:line="340"/>
        <w:jc w:val="both"/>
      </w:pPr>
      <w:r>
        <w:rPr>
          <w:rFonts w:ascii="Times New Roman" w:cs="Times New Roman" w:eastAsia="Times New Roman" w:hAnsi="Times New Roman"/>
          <w:sz w:val="24"/>
          <w:szCs w:val="24"/>
        </w:rPr>
        <w:t xml:space="preserve">Key notation: y1 = current harvest year; y0 = previous growing season. Positions: c = centred (±n/2 days around stage DOY), b = n days before stage DOY, a = n days after stage DOY. All aggregations are computed over the specified window relative to the phenological DOY for each individual year, using the daily meteorological records from dataPrep_meteo_*.csv.</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C.1 Temperature Features (13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tm_fl_y1_c15</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Thermal conditions during the critical flowering window — governs pollen viability, fruit set, and inflorescence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Pre-flowering thermal conditions — vine heat accumulation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temperature — governs initial berry cell division and early fruit development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early spring thermal conditions — influences inflorescence primordia initiation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tm_bb_y0_a30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post-budburst window in previous year — vine carbohydrate allocation and early season vigour</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tm_sm_y1_c20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Temperature at veraison onset — governs timing of berry colour change and ripening acceleration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post-veraison heat — vine thermal stress at end of prior season; affects reserve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tm_sm_y0_b20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pre-veraison temperature — mid-ripening thermal conditions in prior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Temperature at harvest — final ripening conditions; warmer harvest accelerates sugar accumulation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tm_hv_y1_b20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temperature — late-season thermal driver of final berry maturation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pre-flowering temperature — key driver of inflorescence primordia differentiation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tm_fl_y0_a10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Mean temperature</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post-flowering temperature — affects fruit set and bunch architecture for current year</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tn_hv_y0_a30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Min temperature</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post-harvest night temperatures — warm nights maintain vine metabolic activity; affect carbohydrate reserve building</w:t>
            </w:r>
          </w:p>
        </w:tc>
      </w:tr>
    </w:tbl>
    <w:p>
      <w:pPr>
        <w:spacing w:after="200" w:before="80"/>
        <w:jc w:val="center"/>
      </w:pPr>
      <w:r>
        <w:rPr>
          <w:rFonts w:ascii="Times New Roman" w:cs="Times New Roman" w:eastAsia="Times New Roman" w:hAnsi="Times New Roman"/>
          <w:i/>
          <w:iCs/>
          <w:sz w:val="20"/>
          <w:szCs w:val="20"/>
        </w:rPr>
        <w:t xml:space="preserve">Table C.1. Mean and minimum temperature features (13 total).</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C.2 Cold and Frost Day Features (5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tm.days.less.15_fl_y1_c15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Number of cold days during flowering — impairs pollen viability and fertilisation; directly reduces berry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tm.days.less.15_fl_y1_b15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Cold days (Tmed&lt;15°C)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Pre-flowering cold days — cool conditions entering the flowering phase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days_minTemp.less.0_bb_y1_c20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±20d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at budburst — potential spring frost damage to emerging shoots; severe frosts can destroy entire crop</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days.minTemp.less.0_bb_y1_a30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Post-budburst frost risk window — young shoots most vulnerable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days.minTemp.less.0_fl_y1_a10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Frost days (Tmin&lt;0°C)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Late frost at flowering — unusual but damaging frost events during fruit set</w:t>
            </w:r>
          </w:p>
        </w:tc>
      </w:tr>
    </w:tbl>
    <w:p>
      <w:pPr>
        <w:spacing w:after="200" w:before="80"/>
        <w:jc w:val="center"/>
      </w:pPr>
      <w:r>
        <w:rPr>
          <w:rFonts w:ascii="Times New Roman" w:cs="Times New Roman" w:eastAsia="Times New Roman" w:hAnsi="Times New Roman"/>
          <w:i/>
          <w:iCs/>
          <w:sz w:val="20"/>
          <w:szCs w:val="20"/>
        </w:rPr>
        <w:t xml:space="preserve">Table C.2. Cold day (Tmed &lt; 15°C) and frost day (Tmin &lt; 0°C)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C.3 Heat Stress Day Features (4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900"/>
        <w:gridCol w:w="500"/>
        <w:gridCol w:w="1000"/>
        <w:gridCol w:w="500"/>
        <w:gridCol w:w="600"/>
        <w:gridCol w:w="33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3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Extreme heat at flowering — causes flower abortion, pollen tube failure, and reduces berry number</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post-flowering heat exposure — sustained heat impact on early berry development</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days.tempMax.above.35_sm_y1_b20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stress approaching veraison — accelerates sugar rise; can impair acid retention and berry integrity</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days.maxTemp.above.35_sm_y1_a20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Heat days (Tmax&gt;35°C)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Post-veraison heat stress — berry thermal stress during the key ripening phase</w:t>
            </w:r>
          </w:p>
        </w:tc>
      </w:tr>
    </w:tbl>
    <w:p>
      <w:pPr>
        <w:spacing w:after="200" w:before="80"/>
        <w:jc w:val="center"/>
      </w:pPr>
      <w:r>
        <w:rPr>
          <w:rFonts w:ascii="Times New Roman" w:cs="Times New Roman" w:eastAsia="Times New Roman" w:hAnsi="Times New Roman"/>
          <w:i/>
          <w:iCs/>
          <w:sz w:val="20"/>
          <w:szCs w:val="20"/>
        </w:rPr>
        <w:t xml:space="preserve">Table C.3. Heat stress day features (Tmax &gt; 35°C).</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C.4 Rainfall Features (8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00"/>
        <w:gridCol w:w="1000"/>
        <w:gridCol w:w="500"/>
        <w:gridCol w:w="600"/>
        <w:gridCol w:w="3500"/>
      </w:tblGrid>
      <w:tr>
        <w:trPr>
          <w:tblHeader/>
        </w:trPr>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rf_fl_y1_a10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immediately post-flowering — disease risk (Botrytis, downy mildew); excess rain dilutes berry development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rf_hv_y1_b10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rainfall — late rain can cause berry splitting, dilution of sugars, and Botrytis infection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rf_hv_y0_a10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Rainfall total</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Sum</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rainfall in previous year — begins recharging soil water reserves for the following season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days.rf.above.1mm_fl_y1_c15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±15d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Frequency of rain days at flowering — high frequency promotes disease and physically interferes with pollination</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days.rf.above.1mm_fl_y1_a20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rain event count — key disease pressure indicator in the Douro; DRY = above trend</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 days approaching veraison — moisture during mid-season ripening phase</w:t>
            </w:r>
          </w:p>
        </w:tc>
      </w:tr>
      <w:tr>
        <w:tc>
          <w:tcPr>
            <w:tcW w:type="dxa" w:w="18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days.rf.above.1mm_sm_y1_a20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Post-veraison rain days — disease and dilution risk during the ripening phase; 2nd most frequent RDD rule feature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Rain days at harvest — wet harvest conditions cause berry splitting, Botrytis; reduce quality and quantity</w:t>
            </w:r>
          </w:p>
        </w:tc>
      </w:tr>
    </w:tbl>
    <w:p>
      <w:pPr>
        <w:spacing w:after="200" w:before="80"/>
        <w:jc w:val="center"/>
      </w:pPr>
      <w:r>
        <w:rPr>
          <w:rFonts w:ascii="Times New Roman" w:cs="Times New Roman" w:eastAsia="Times New Roman" w:hAnsi="Times New Roman"/>
          <w:i/>
          <w:iCs/>
          <w:sz w:val="20"/>
          <w:szCs w:val="20"/>
        </w:rPr>
        <w:t xml:space="preserve">Table C.4. Rainfall total and wet day count features.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C.5 Leaf Area Index (LAI) Features (10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500"/>
        <w:gridCol w:w="1000"/>
        <w:gridCol w:w="500"/>
        <w:gridCol w:w="600"/>
        <w:gridCol w:w="37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days.rf.above.1mm_hv_y0_a10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Wet days (Rain&gt;1mm)</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rain events in previous year — soil recharge initiation; carry-over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iaf_bb_y1_c10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Bud Break</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budburst — canopy size at growth initiation; proxy for vine vigour entering the season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Pre-flowering canopy development — vegetative vigour entering the critical fruit-set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Broader pre-flowering LAI window — canopy development trajectory before 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iaf_fl_y1_b30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Early pre-flowering canopy — wider window capturing canopy build-up phase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iaf_fl_y1_a10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canopy — rapid leaf area expansion immediately after flowering; vigour proxy</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iaf_hv_y1_c10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centred ±10d</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LAI at harvest — canopy size at the time of picking; DOMINANT RVV feature (20/20 rules); high LAI → below trend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pre-flowering LAI — vine canopy state before prior-year fruit set; carry-over vigour signal</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iaf_fl_y0_b20</w:t>
            </w:r>
          </w:p>
        </w:tc>
        <w:tc>
          <w:tcPr>
            <w:tcW w:type="dxa" w:w="12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previous-year pre-flowering LAI window</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iaf_fl_y0_b30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before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Widest previous-year pre-flowering LAI window — M5Rules LAI differential uses b10/b20/b30 together</w:t>
            </w:r>
          </w:p>
        </w:tc>
      </w:tr>
    </w:tbl>
    <w:p>
      <w:pPr>
        <w:spacing w:after="200" w:before="80"/>
        <w:jc w:val="center"/>
      </w:pPr>
      <w:r>
        <w:rPr>
          <w:rFonts w:ascii="Times New Roman" w:cs="Times New Roman" w:eastAsia="Times New Roman" w:hAnsi="Times New Roman"/>
          <w:i/>
          <w:iCs/>
          <w:sz w:val="20"/>
          <w:szCs w:val="20"/>
        </w:rPr>
        <w:t xml:space="preserve">Table C.5. Leaf Area Index features. iaf_hv_y1_c10 is the dominant RVV feature (20/20 rules).</w:t>
      </w:r>
    </w:p>
    <w:p>
      <w:pPr>
        <w:spacing w:after="60" w:before="60"/>
      </w:pPr>
      <w:r>
        <w:t xml:space="preserve"/>
      </w:r>
    </w:p>
    <w:p>
      <w:pPr>
        <w:pStyle w:val="Heading2"/>
        <w:spacing w:after="120" w:before="300"/>
      </w:pPr>
      <w:r>
        <w:rPr>
          <w:rFonts w:ascii="Times New Roman" w:cs="Times New Roman" w:eastAsia="Times New Roman" w:hAnsi="Times New Roman"/>
          <w:b/>
          <w:bCs/>
          <w:sz w:val="24"/>
          <w:szCs w:val="24"/>
        </w:rPr>
        <w:t xml:space="preserve">C.6 Soil Water Features (18 features)</w:t>
      </w:r>
    </w:p>
    <w:p>
      <w:pPr>
        <w:spacing w:after="60" w:before="6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500"/>
        <w:gridCol w:w="1000"/>
        <w:gridCol w:w="500"/>
        <w:gridCol w:w="600"/>
        <w:gridCol w:w="3500"/>
      </w:tblGrid>
      <w:tr>
        <w:trPr>
          <w:tblHeader/>
        </w:trPr>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Feature name</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Variable</w:t>
            </w:r>
          </w:p>
        </w:tc>
        <w:tc>
          <w:tcPr>
            <w:tcW w:type="dxa" w:w="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Stage</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Year</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Window</w:t>
            </w:r>
          </w:p>
        </w:tc>
        <w:tc>
          <w:tcPr>
            <w:tcW w:type="dxa" w:w="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Unit</w:t>
            </w:r>
          </w:p>
        </w:tc>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Calc</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18"/>
                <w:szCs w:val="18"/>
              </w:rPr>
              <w:t xml:space="preserve">Agronomic interpretation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iaf_fl_y0_a10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Leaf Area Index</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m²/m²</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Post-flowering LAI in previous year — canopy expansion after prior-year fruit set</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balance post-flowering — moisture availability during early berry development; excess → vigour/disease in RVV</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swa_fl_y1_a30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post-flowering soil water window — cumulative moisture through mid-season; appears in RVV rules 3, 16, 19</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swa_hv_y1_b20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soil water — DOMINANT feature in both regions; RDD: moderate deficit → above trend; RVV: deficit → below trend</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swa_hv_y0_a15</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soil water in previous year — soil recharge initiation; carry-over moisture for next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swa_hv_y0_a20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Soil water availability</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mm</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Average</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post-harvest soil water in previous year — confirms carry-over recharge pattern</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Severe stress days post-flowering — days when soil water falls below vine wilting threshold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post-flowering stress exposure</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Severe stress days at veraison onset — critical window for sugar–acid balance</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sw.less.15wp_sm_y1_a20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Start Maturity</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stress at maturity — prolonged wilting-level stress during ripening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sw.less.15wp_hv_y1_b20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before</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Pre-harvest severe stress — intense berry concentration but risk of vine damage if prolonged</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sw.less.15wp_hv_y1_a20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Harvest</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Post-harvest severe stress — vine recovery period after harvest</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post-flowering stress — carry-over water deficit from prior season</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sw.less.15wp_fl_y0_a20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Stress days (Sm&lt;1.5×Wp)</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previous-year post-flowering stress</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Near-saturation days post-flowering — promote disease and vegetative vigour; relevant to RVV below-trend rules</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sw.above.09fc_fl_y1_a20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Extended near-saturation post-flowering</w:t>
            </w:r>
          </w:p>
        </w:tc>
      </w:tr>
      <w:tr>
        <w:tc>
          <w:tcPr>
            <w:tcW w:type="dxa" w:w="1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sw.above.09fc_fl_y0_a10</w:t>
            </w:r>
          </w:p>
        </w:tc>
        <w:tc>
          <w:tcPr>
            <w:tcW w:type="dxa" w:w="14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10d after prev. yr</w:t>
            </w:r>
          </w:p>
        </w:tc>
        <w:tc>
          <w:tcPr>
            <w:tcW w:type="dxa" w:w="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shd w:fill="F7F7F7"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Previous-year post-flowering soil saturation — carry-over vigour effect identified in RVV Rule 2</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sw.above.09fc_fl_y0_a20</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Saturation days (Sm&gt;0.9×Fc)</w:t>
            </w:r>
          </w:p>
        </w:tc>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Flowering</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y0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20d after prev. yr</w:t>
            </w:r>
          </w:p>
        </w:tc>
        <w:tc>
          <w:tcPr>
            <w:tcW w:type="dxa" w:w="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days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Count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Wider window for previous-year post-flowering soil saturation — strongest RVV carry-over signal</w:t>
            </w:r>
          </w:p>
        </w:tc>
      </w:tr>
    </w:tbl>
    <w:p>
      <w:pPr>
        <w:spacing w:after="200" w:before="80"/>
        <w:jc w:val="center"/>
      </w:pPr>
      <w:r>
        <w:rPr>
          <w:rFonts w:ascii="Times New Roman" w:cs="Times New Roman" w:eastAsia="Times New Roman" w:hAnsi="Times New Roman"/>
          <w:i/>
          <w:iCs/>
          <w:sz w:val="20"/>
          <w:szCs w:val="20"/>
        </w:rPr>
        <w:t xml:space="preserve">Table C.6. Soil water availability, stress day (Sm &lt; 1.5×Wp), and saturation day (Sm &gt; 0.9×Fc) features. swa_hv_y1_b20 is the dominant feature in both regions.</w:t>
      </w:r>
    </w:p>
    <w:p>
      <w:pPr>
        <w:spacing w:after="60" w:before="60"/>
      </w:pPr>
      <w:r>
        <w:t xml:space="preserve"/>
      </w:r>
    </w:p>
    <w:p>
      <w:pPr>
        <w:pageBreakBefore w:val="1"/>
      </w:pPr>
    </w:p>
    <w:p>
      <w:pPr>
        <w:pStyle w:val="Heading1"/>
        <w:spacing w:after="180" w:before="360"/>
      </w:pPr>
      <w:r>
        <w:rPr>
          <w:rFonts w:ascii="Times New Roman" w:cs="Times New Roman" w:eastAsia="Times New Roman" w:hAnsi="Times New Roman"/>
          <w:b/>
          <w:bCs/>
          <w:sz w:val="28"/>
          <w:szCs w:val="28"/>
        </w:rPr>
        <w:t xml:space="preserve">Appendix D — Feature Coverage Map</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Figure D.1 provides a visual overview of all 58 agroclimatic features in the dataset, organised by variable family (rows) and phenological stage × window position (columns). Each coloured cell represents one or more feature windows: the darker upper half shows features computed for the current harvest year (y1); the lighter lower half shows features computed for the previous year (y0). The number inside each cell is the window width in days.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map makes several structural properties of the feature set immediately visible. Flowering is the most densely populated stage — it contributes features across all variable families and both years, reflecting the critical importance of flowering-phase conditions for yield determination. The previous-year (y0) features are concentrated at Flowering and Harvest, corresponding to the two biological carry-over mechanisms described in Section 3.2.3: inflorescence primordia formation (driven by prior-year flowering thermal conditions) and vine carbohydrate reserve building (driven by prior-year harvest and post-harvest conditions). Bud Break and Start Maturity have sparser coverage — only those specific variables with demonstrated agronomic relevance to those stages were included. The soil-water family (swa, stress days, saturation days) is notably concentrated at Flowering and Harvest, consistent with their role as the primary mechanistic pathways through which climate affects production identified in the CarenR rule analysis (Chapter 4).</w:t>
      </w:r>
    </w:p>
    <w:p>
      <w:pPr>
        <w:spacing w:after="80" w:before="80"/>
      </w:pPr>
      <w:r>
        <w:t xml:space="preserve"/>
      </w:r>
    </w:p>
    <w:p>
      <w:pPr>
        <w:spacing w:after="80" w:before="200"/>
        <w:jc w:val="center"/>
      </w:pPr>
      <w:r>
        <w:drawing>
          <wp:inline distT="0" distB="0" distL="0" distR="0">
            <wp:extent cx="5000625" cy="2752725"/>
            <wp:effectExtent t="0" r="0" b="0" l="0"/>
            <wp:docPr id="10" name="fig_feature_map.png" descr="fig_feature_map.png" title="fig_featur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5000625" cy="2752725"/>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D.1. Feature coverage map: 58 agroclimatic features × phenological stage × window position. Each coloured cell = one or more feature windows. Darker (top) = current year (y1); lighter (bottom) = previous year (y0). Numbers = window width in days. Stage colour coding: blue = Bud Break, green = Flowering, amber = Start Maturity, red = Harvest.</w:t>
      </w:r>
    </w:p>
    <w:p>
      <w:pPr>
        <w:spacing w:after="80" w:before="80"/>
      </w:pPr>
      <w:r>
        <w:t xml:space="preserve"/>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