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32"/>
          <w:szCs w:val="32"/>
        </w:rPr>
        <w:t xml:space="preserve">Rule-Based Machine Learning for Wine Production Forecasting: Pattern Discovery and Predictive Validation in Two Portuguese Denominations</w:t>
      </w:r>
    </w:p>
    <w:p>
      <w:pPr>
        <w:spacing w:after="120" w:before="0"/>
        <w:jc w:val="center"/>
      </w:pPr>
      <w:r>
        <w:rPr>
          <w:rFonts w:ascii="Times New Roman" w:cs="Times New Roman" w:eastAsia="Times New Roman" w:hAnsi="Times New Roman"/>
          <w:sz w:val="22"/>
          <w:szCs w:val="22"/>
        </w:rPr>
        <w:t xml:space="preserve">Hugo Nogueira</w:t>
      </w:r>
    </w:p>
    <w:p>
      <w:pPr>
        <w:spacing w:after="120" w:before="0"/>
        <w:jc w:val="center"/>
      </w:pPr>
      <w:r>
        <w:rPr>
          <w:rFonts w:ascii="Times New Roman" w:cs="Times New Roman" w:eastAsia="Times New Roman" w:hAnsi="Times New Roman"/>
          <w:i/>
          <w:iCs/>
          <w:sz w:val="20"/>
          <w:szCs w:val="20"/>
        </w:rPr>
        <w:t xml:space="preserve">Faculty of Engineering, University of Porto (FEUP)</w:t>
      </w:r>
    </w:p>
    <w:p>
      <w:pPr>
        <w:spacing w:after="480" w:before="0"/>
        <w:jc w:val="center"/>
      </w:pPr>
      <w:r>
        <w:rPr>
          <w:rFonts w:ascii="Times New Roman" w:cs="Times New Roman" w:eastAsia="Times New Roman" w:hAnsi="Times New Roman"/>
          <w:i/>
          <w:iCs/>
          <w:sz w:val="20"/>
          <w:szCs w:val="20"/>
        </w:rPr>
        <w:t xml:space="preserve">Porto, Portugal  |  hfqnogueira@gmail.com</w:t>
      </w:r>
    </w:p>
    <w:p>
      <w:pPr>
        <w:pBdr>
          <w:bottom w:val="single" w:color="1F3864" w:sz="4" w:space="1"/>
        </w:pBdr>
      </w:pPr>
    </w:p>
    <w:p>
      <w:pPr>
        <w:spacing w:after="0" w:before="0" w:line="160"/>
      </w:pPr>
    </w:p>
    <w:p>
      <w:pPr>
        <w:spacing w:after="60" w:before="120"/>
      </w:pPr>
      <w:r>
        <w:rPr>
          <w:rFonts w:ascii="Times New Roman" w:cs="Times New Roman" w:eastAsia="Times New Roman" w:hAnsi="Times New Roman"/>
          <w:b/>
          <w:bCs/>
          <w:sz w:val="20"/>
          <w:szCs w:val="20"/>
        </w:rPr>
        <w:t xml:space="preserve">Abstract. </w:t>
      </w:r>
      <w:r>
        <w:rPr>
          <w:rFonts w:ascii="Times New Roman" w:cs="Times New Roman" w:eastAsia="Times New Roman" w:hAnsi="Times New Roman"/>
          <w:sz w:val="20"/>
          <w:szCs w:val="20"/>
        </w:rPr>
        <w:t xml:space="preserve">This paper investigates whether rule-based machine learning can extract actionable climate-production relationships from historical wine production data in two Portuguese Protected Designations of Origin: Douro (RDD, n=89) and Vinho Verde (RVV, n=80). The work pursues two goals. Goal 1 (rule discovery) asks whether the CarenR distributional subgroup discovery framework, together with RIPPER classification rules and M5Rules piecewise linear models, can identify interpretable climate conditions associated with above- and below-trend production. Goal 2 (predictive validation) asks whether those rules can improve single-year production forecasts over a naive baseline in an expanding-window walk-forward evaluation. Goal 1 is fully achieved: CarenR recovers 48 rules for RDD and 20 for RVV, converging with RIPPER and M5Rules on three cross-algorithm backbone features (harvest-period soil water content, leaf-area index at harvest, and previous-summer temperature). Goal 2 is not achieved in aggregate. In RDD the best CarenR variant trails the naive median baseline by only 3% in weighted mean absolute error (189 vs. 184 mhl), with a statistically non-significant gap (Wilcoxon p=0.468). In RVV the best variant exceeds the baseline by 22% (172 vs. 140 mhl), with the excess concentrated in scenarios where era-composition confounds cause rules to misfire (Wilcoxon p=0.004 on harmful scenarios). The practical implication is that distributional rule discovery is a productive tool for agroclimatic explanation; predictive application requires either a stronger climate signal or explicit structural-trend covariates.</w:t>
      </w:r>
    </w:p>
    <w:p>
      <w:pPr>
        <w:spacing w:after="0" w:before="0" w:line="80"/>
      </w:pPr>
    </w:p>
    <w:p>
      <w:pPr>
        <w:spacing w:after="480" w:before="6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wine production forecasting, rule-based machine learning, subgroup discovery, CarenR, RIPPER, M5Rules, walk-forward validation, climate-yield modelling, Douro, Vinho Verde</w:t>
      </w:r>
    </w:p>
    <w:p>
      <w:pPr>
        <w:pBdr>
          <w:bottom w:val="single" w:color="1F3864" w:sz="4" w:space="1"/>
        </w:pBdr>
      </w:pPr>
    </w:p>
    <w:p>
      <w:pPr>
        <w:spacing w:after="0" w:before="0" w:line="240"/>
      </w:pPr>
    </w:p>
    <w:p>
      <w:pPr>
        <w:pStyle w:val="Heading1"/>
      </w:pPr>
      <w:r>
        <w:rPr>
          <w:rFonts w:ascii="Times New Roman" w:cs="Times New Roman" w:eastAsia="Times New Roman" w:hAnsi="Times New Roman"/>
          <w:b/>
          <w:bCs/>
          <w:color w:val="1F3864"/>
          <w:sz w:val="26"/>
          <w:szCs w:val="26"/>
        </w:rPr>
        <w:t xml:space="preserve">1  Introduction</w:t>
      </w:r>
    </w:p>
    <w:p>
      <w:pPr>
        <w:spacing w:after="0" w:before="0" w:line="80"/>
      </w:pPr>
    </w:p>
    <w:p>
      <w:pPr>
        <w:pStyle w:val="Heading2"/>
      </w:pPr>
      <w:r>
        <w:rPr>
          <w:rFonts w:ascii="Times New Roman" w:cs="Times New Roman" w:eastAsia="Times New Roman" w:hAnsi="Times New Roman"/>
          <w:b/>
          <w:bCs/>
          <w:sz w:val="22"/>
          <w:szCs w:val="22"/>
        </w:rPr>
        <w:t xml:space="preserve">1.1  Motivation</w:t>
      </w:r>
    </w:p>
    <w:p>
      <w:pPr>
        <w:spacing w:after="120" w:before="120"/>
        <w:ind w:firstLine="360"/>
        <w:jc w:val="both"/>
      </w:pPr>
      <w:r>
        <w:rPr>
          <w:rFonts w:ascii="Times New Roman" w:cs="Times New Roman" w:eastAsia="Times New Roman" w:hAnsi="Times New Roman"/>
          <w:sz w:val="20"/>
          <w:szCs w:val="20"/>
        </w:rPr>
        <w:t xml:space="preserve">Wine production is a climate-sensitive agricultural process in which the relationship between weather conditions across the growing season and final annual output is mediated by biological, phenological, and economic factors that interact non-linearly. For wine-producing regions operating under strict Protected Designation of Origin (PDO) regulations -- where vineyard area, grape varieties, and viticultural practices are largely fixed -- inter-annual production variability is dominated by climatic drivers rather than by land-use change. Understanding which climate conditions systematically separate above-trend from below-trend harvest years is therefore of direct value to vineyard managers, regional cooperatives, and insurance underwriters.</w:t>
      </w:r>
    </w:p>
    <w:p>
      <w:pPr>
        <w:spacing w:after="120" w:before="120"/>
        <w:ind w:firstLine="360"/>
        <w:jc w:val="both"/>
      </w:pPr>
      <w:r>
        <w:rPr>
          <w:rFonts w:ascii="Times New Roman" w:cs="Times New Roman" w:eastAsia="Times New Roman" w:hAnsi="Times New Roman"/>
          <w:sz w:val="20"/>
          <w:szCs w:val="20"/>
        </w:rPr>
        <w:t xml:space="preserve">Portugal presents a particularly challenging and interesting case study. The country hosts two of Europe's most contrasting wine regions: the Douro Valley (RDD), a hot, semi-arid inland terroir with a long-established production trajectory characterised by gradual growth; and Vinho Verde (RVV), a cool Atlantic littoral region whose production declined by approximately 65% between 1942 and 2021, driven primarily by structural economic factors (EU accession, grubbing-up subsidies, rural exodus) rather than climate. This structural contrast means that any analysis of climate-production relationships must first account for the long-term non-stationary trend before attempting to isolate inter-annual climate signals.</w:t>
      </w:r>
    </w:p>
    <w:p>
      <w:pPr>
        <w:spacing w:after="120" w:before="120"/>
        <w:ind w:firstLine="360"/>
        <w:jc w:val="both"/>
      </w:pPr>
      <w:r>
        <w:rPr>
          <w:rFonts w:ascii="Times New Roman" w:cs="Times New Roman" w:eastAsia="Times New Roman" w:hAnsi="Times New Roman"/>
          <w:sz w:val="20"/>
          <w:szCs w:val="20"/>
        </w:rPr>
        <w:t xml:space="preserve">The availability of long daily meteorological records (1942-2021), matched to phenological stage calendars and annual certified production volumes, makes these regions tractable for historical rule mining, even though the short series length (n approximately 80-89 years) imposes non-trivial constraints on statistical power.</w:t>
      </w:r>
    </w:p>
    <w:p>
      <w:pPr>
        <w:spacing w:after="0" w:before="0" w:line="80"/>
      </w:pPr>
    </w:p>
    <w:p>
      <w:pPr>
        <w:pStyle w:val="Heading2"/>
      </w:pPr>
      <w:r>
        <w:rPr>
          <w:rFonts w:ascii="Times New Roman" w:cs="Times New Roman" w:eastAsia="Times New Roman" w:hAnsi="Times New Roman"/>
          <w:b/>
          <w:bCs/>
          <w:sz w:val="22"/>
          <w:szCs w:val="22"/>
        </w:rPr>
        <w:t xml:space="preserve">1.2  Objectives</w:t>
      </w:r>
    </w:p>
    <w:p>
      <w:pPr>
        <w:spacing w:after="120" w:before="120"/>
        <w:ind w:firstLine="360"/>
        <w:jc w:val="both"/>
      </w:pPr>
      <w:r>
        <w:rPr>
          <w:rFonts w:ascii="Times New Roman" w:cs="Times New Roman" w:eastAsia="Times New Roman" w:hAnsi="Times New Roman"/>
          <w:sz w:val="20"/>
          <w:szCs w:val="20"/>
        </w:rPr>
        <w:t xml:space="preserve">This paper addresses two research goals that are deliberately kept distinct:</w:t>
      </w:r>
    </w:p>
    <w:p>
      <w:pPr>
        <w:spacing w:after="120" w:before="120"/>
        <w:jc w:val="both"/>
      </w:pPr>
      <w:r>
        <w:rPr>
          <w:rFonts w:ascii="Times New Roman" w:cs="Times New Roman" w:eastAsia="Times New Roman" w:hAnsi="Times New Roman"/>
          <w:b/>
          <w:bCs/>
          <w:i w:val="false"/>
          <w:iCs w:val="false"/>
          <w:sz w:val="20"/>
          <w:szCs w:val="20"/>
        </w:rPr>
        <w:t xml:space="preserve">Goal 1 -- Rule Discovery: </w:t>
      </w:r>
      <w:r>
        <w:rPr>
          <w:rFonts w:ascii="Times New Roman" w:cs="Times New Roman" w:eastAsia="Times New Roman" w:hAnsi="Times New Roman"/>
          <w:sz w:val="20"/>
          <w:szCs w:val="20"/>
        </w:rPr>
        <w:t xml:space="preserve">Can rule-based machine learning algorithms identify interpretable, statistically robust climate conditions that explain historical above- and below-trend wine production in RDD and RVV? This goal is assessed on in-sample or cross-validated rule quality (support, confidence, KS test significance), not on held-out predictive accuracy.</w:t>
      </w:r>
    </w:p>
    <w:p>
      <w:pPr>
        <w:spacing w:after="120" w:before="120"/>
        <w:jc w:val="both"/>
      </w:pPr>
      <w:r>
        <w:rPr>
          <w:rFonts w:ascii="Times New Roman" w:cs="Times New Roman" w:eastAsia="Times New Roman" w:hAnsi="Times New Roman"/>
          <w:b/>
          <w:bCs/>
          <w:i w:val="false"/>
          <w:iCs w:val="false"/>
          <w:sz w:val="20"/>
          <w:szCs w:val="20"/>
        </w:rPr>
        <w:t xml:space="preserve">Goal 2 -- Predictive Validation: </w:t>
      </w:r>
      <w:r>
        <w:rPr>
          <w:rFonts w:ascii="Times New Roman" w:cs="Times New Roman" w:eastAsia="Times New Roman" w:hAnsi="Times New Roman"/>
          <w:sz w:val="20"/>
          <w:szCs w:val="20"/>
        </w:rPr>
        <w:t xml:space="preserve">Do the rules discovered in Goal 1 translate into improved single-year production forecasts when applied in a strictly out-of-sample, expanding-window walk-forward protocol? This goal is assessed on weighted mean absolute error (wMAE) against a naive baseline.</w:t>
      </w:r>
    </w:p>
    <w:p>
      <w:pPr>
        <w:spacing w:after="120" w:before="120"/>
        <w:ind w:firstLine="360"/>
        <w:jc w:val="both"/>
      </w:pPr>
      <w:r>
        <w:rPr>
          <w:rFonts w:ascii="Times New Roman" w:cs="Times New Roman" w:eastAsia="Times New Roman" w:hAnsi="Times New Roman"/>
          <w:sz w:val="20"/>
          <w:szCs w:val="20"/>
        </w:rPr>
        <w:t xml:space="preserve">The explicit two-goal decomposition is methodologically important. A genuine climate-production association can exist (Goal 1 success) even when that association is too weak to reliably beat a naive forecast (Goal 2 failure). Conflating the two goals leads either to overconfidence in predictive ability or to premature dismissal of genuine agronomic patterns.</w:t>
      </w:r>
    </w:p>
    <w:p>
      <w:pPr>
        <w:spacing w:after="0" w:before="0" w:line="80"/>
      </w:pPr>
    </w:p>
    <w:p>
      <w:pPr>
        <w:pStyle w:val="Heading2"/>
      </w:pPr>
      <w:r>
        <w:rPr>
          <w:rFonts w:ascii="Times New Roman" w:cs="Times New Roman" w:eastAsia="Times New Roman" w:hAnsi="Times New Roman"/>
          <w:b/>
          <w:bCs/>
          <w:sz w:val="22"/>
          <w:szCs w:val="22"/>
        </w:rPr>
        <w:t xml:space="preserve">1.3  Contributions and Main Results</w:t>
      </w:r>
    </w:p>
    <w:p>
      <w:pPr>
        <w:spacing w:after="120" w:before="120"/>
        <w:ind w:firstLine="360"/>
        <w:jc w:val="both"/>
      </w:pPr>
      <w:r>
        <w:rPr>
          <w:rFonts w:ascii="Times New Roman" w:cs="Times New Roman" w:eastAsia="Times New Roman" w:hAnsi="Times New Roman"/>
          <w:sz w:val="20"/>
          <w:szCs w:val="20"/>
        </w:rPr>
        <w:t xml:space="preserve">The principal contributions of this work are:</w:t>
      </w:r>
    </w:p>
    <w:p>
      <w:pPr>
        <w:spacing w:after="120" w:before="120"/>
        <w:jc w:val="both"/>
      </w:pPr>
      <w:r>
        <w:rPr>
          <w:rFonts w:ascii="Times New Roman" w:cs="Times New Roman" w:eastAsia="Times New Roman" w:hAnsi="Times New Roman"/>
          <w:b/>
          <w:bCs/>
          <w:i w:val="false"/>
          <w:iCs w:val="false"/>
          <w:sz w:val="20"/>
          <w:szCs w:val="20"/>
        </w:rPr>
        <w:t xml:space="preserve">(i) Two-decision decomposition framework: </w:t>
      </w:r>
      <w:r>
        <w:rPr>
          <w:rFonts w:ascii="Times New Roman" w:cs="Times New Roman" w:eastAsia="Times New Roman" w:hAnsi="Times New Roman"/>
          <w:sz w:val="20"/>
          <w:szCs w:val="20"/>
        </w:rPr>
        <w:t xml:space="preserve">We formalise the prediction pipeline as two sequential decisions (trend modelling quality; climate signal extraction quality) whose requirements pull in opposite directions, and demonstrate empirically that the trade-off cannot be resolved by changing the detrending hyperparameter alone.</w:t>
      </w:r>
    </w:p>
    <w:p>
      <w:pPr>
        <w:spacing w:after="120" w:before="120"/>
        <w:jc w:val="both"/>
      </w:pPr>
      <w:r>
        <w:rPr>
          <w:rFonts w:ascii="Times New Roman" w:cs="Times New Roman" w:eastAsia="Times New Roman" w:hAnsi="Times New Roman"/>
          <w:b/>
          <w:bCs/>
          <w:i w:val="false"/>
          <w:iCs w:val="false"/>
          <w:sz w:val="20"/>
          <w:szCs w:val="20"/>
        </w:rPr>
        <w:t xml:space="preserve">(ii) CarenR sensitivity analysis with 11 variants: </w:t>
      </w:r>
      <w:r>
        <w:rPr>
          <w:rFonts w:ascii="Times New Roman" w:cs="Times New Roman" w:eastAsia="Times New Roman" w:hAnsi="Times New Roman"/>
          <w:sz w:val="20"/>
          <w:szCs w:val="20"/>
        </w:rPr>
        <w:t xml:space="preserve">We evaluate 11 CarenR feature selection strategies under identical walk-forward conditions, providing the first structured comparison of distributional subgroup discovery variants for agricultural forecasting.</w:t>
      </w:r>
    </w:p>
    <w:p>
      <w:pPr>
        <w:spacing w:after="120" w:before="120"/>
        <w:jc w:val="both"/>
      </w:pPr>
      <w:r>
        <w:rPr>
          <w:rFonts w:ascii="Times New Roman" w:cs="Times New Roman" w:eastAsia="Times New Roman" w:hAnsi="Times New Roman"/>
          <w:b/>
          <w:bCs/>
          <w:i w:val="false"/>
          <w:iCs w:val="false"/>
          <w:sz w:val="20"/>
          <w:szCs w:val="20"/>
        </w:rPr>
        <w:t xml:space="preserve">(iii) Cross-algorithm feature agreement: </w:t>
      </w:r>
      <w:r>
        <w:rPr>
          <w:rFonts w:ascii="Times New Roman" w:cs="Times New Roman" w:eastAsia="Times New Roman" w:hAnsi="Times New Roman"/>
          <w:sz w:val="20"/>
          <w:szCs w:val="20"/>
        </w:rPr>
        <w:t xml:space="preserve">We identify three backbone features confirmed by all three rule-learning paradigms (distributional, classification, and piecewise linear), providing convergent validity for the agroclimatic interpretation.</w:t>
      </w:r>
    </w:p>
    <w:p>
      <w:pPr>
        <w:spacing w:after="120" w:before="120"/>
        <w:jc w:val="both"/>
      </w:pPr>
      <w:r>
        <w:rPr>
          <w:rFonts w:ascii="Times New Roman" w:cs="Times New Roman" w:eastAsia="Times New Roman" w:hAnsi="Times New Roman"/>
          <w:b/>
          <w:bCs/>
          <w:i w:val="false"/>
          <w:iCs w:val="false"/>
          <w:sz w:val="20"/>
          <w:szCs w:val="20"/>
        </w:rPr>
        <w:t xml:space="preserve">(iv) LOESS detrending as a feature validity probe: </w:t>
      </w:r>
      <w:r>
        <w:rPr>
          <w:rFonts w:ascii="Times New Roman" w:cs="Times New Roman" w:eastAsia="Times New Roman" w:hAnsi="Times New Roman"/>
          <w:sz w:val="20"/>
          <w:szCs w:val="20"/>
        </w:rPr>
        <w:t xml:space="preserve">We show that 90-92% of top features retain their correlation after aggressive LOESS detrending, while harvest temperature retains only 56% -- flagging it as era-inflated rather than causally interpretable.</w:t>
      </w:r>
    </w:p>
    <w:p>
      <w:pPr>
        <w:spacing w:after="120" w:before="120"/>
        <w:jc w:val="both"/>
      </w:pPr>
      <w:r>
        <w:rPr>
          <w:rFonts w:ascii="Times New Roman" w:cs="Times New Roman" w:eastAsia="Times New Roman" w:hAnsi="Times New Roman"/>
          <w:b/>
          <w:bCs/>
          <w:i w:val="false"/>
          <w:iCs w:val="false"/>
          <w:sz w:val="20"/>
          <w:szCs w:val="20"/>
        </w:rPr>
        <w:t xml:space="preserve">(v) Explicit confirmatory/exploratory classification of statistical tests: </w:t>
      </w:r>
      <w:r>
        <w:rPr>
          <w:rFonts w:ascii="Times New Roman" w:cs="Times New Roman" w:eastAsia="Times New Roman" w:hAnsi="Times New Roman"/>
          <w:sz w:val="20"/>
          <w:szCs w:val="20"/>
        </w:rPr>
        <w:t xml:space="preserve">We report two pre-specified Wilcoxon tests (RDD overall: p=0.468; RVV harmful scenarios: p=0.004) and one post-hoc binomial test on era-balanced RDD scenarios (p=0.031), with clear labelling of their epistemic status.</w:t>
      </w:r>
    </w:p>
    <w:p>
      <w:pPr>
        <w:spacing w:after="120" w:before="120"/>
        <w:ind w:firstLine="360"/>
        <w:jc w:val="both"/>
      </w:pPr>
      <w:r>
        <w:rPr>
          <w:rFonts w:ascii="Times New Roman" w:cs="Times New Roman" w:eastAsia="Times New Roman" w:hAnsi="Times New Roman"/>
          <w:sz w:val="20"/>
          <w:szCs w:val="20"/>
        </w:rPr>
        <w:t xml:space="preserve">The main result is that rule-based ML is a productive discovery tool for agroclimatic pattern identification but falls short of reliable forecasting under the signal-to-noise conditions observed in these two regions. This asymmetry is not a methodological failure; it is a property of the underlying system.</w:t>
      </w:r>
    </w:p>
    <w:p>
      <w:pPr>
        <w:spacing w:after="0" w:before="0" w:line="80"/>
      </w:pPr>
    </w:p>
    <w:p>
      <w:pPr>
        <w:pStyle w:val="Heading2"/>
      </w:pPr>
      <w:r>
        <w:rPr>
          <w:rFonts w:ascii="Times New Roman" w:cs="Times New Roman" w:eastAsia="Times New Roman" w:hAnsi="Times New Roman"/>
          <w:b/>
          <w:bCs/>
          <w:sz w:val="22"/>
          <w:szCs w:val="22"/>
        </w:rPr>
        <w:t xml:space="preserve">1.4  Paper Organisation</w:t>
      </w:r>
    </w:p>
    <w:p>
      <w:pPr>
        <w:spacing w:after="120" w:before="120"/>
        <w:ind w:firstLine="360"/>
        <w:jc w:val="both"/>
      </w:pPr>
      <w:r>
        <w:rPr>
          <w:rFonts w:ascii="Times New Roman" w:cs="Times New Roman" w:eastAsia="Times New Roman" w:hAnsi="Times New Roman"/>
          <w:sz w:val="20"/>
          <w:szCs w:val="20"/>
        </w:rPr>
        <w:t xml:space="preserve">Section 2 reviews related work on wine production modelling, subgroup discovery, and rule-based forecasting. Section 3 describes the proposed methodology, including the feature engineering pipeline, detrending protocol, algorithm specifications, and evaluation framework. Section 4 presents the dataset and experimental setup. Section 5 reports results for Goal 1 (rule discovery) and Goal 2 (predictive performance), including sensitivity analyses. Section 6 concludes with a discussion of limitations and future work.</w:t>
      </w:r>
    </w:p>
    <w:p>
      <w:pPr>
        <w:spacing w:after="0" w:before="0" w:line="240"/>
      </w:pPr>
    </w:p>
    <w:p>
      <w:pPr>
        <w:pStyle w:val="Heading1"/>
      </w:pPr>
      <w:r>
        <w:rPr>
          <w:rFonts w:ascii="Times New Roman" w:cs="Times New Roman" w:eastAsia="Times New Roman" w:hAnsi="Times New Roman"/>
          <w:b/>
          <w:bCs/>
          <w:color w:val="1F3864"/>
          <w:sz w:val="26"/>
          <w:szCs w:val="26"/>
        </w:rPr>
        <w:t xml:space="preserve">2  State of the Art</w:t>
      </w:r>
    </w:p>
    <w:p>
      <w:pPr>
        <w:spacing w:after="0" w:before="0" w:line="80"/>
      </w:pPr>
    </w:p>
    <w:p>
      <w:pPr>
        <w:pStyle w:val="Heading2"/>
      </w:pPr>
      <w:r>
        <w:rPr>
          <w:rFonts w:ascii="Times New Roman" w:cs="Times New Roman" w:eastAsia="Times New Roman" w:hAnsi="Times New Roman"/>
          <w:b/>
          <w:bCs/>
          <w:sz w:val="22"/>
          <w:szCs w:val="22"/>
        </w:rPr>
        <w:t xml:space="preserve">2.1  Quantitative Wine Production Modelling</w:t>
      </w:r>
    </w:p>
    <w:p>
      <w:pPr>
        <w:spacing w:after="120" w:before="120"/>
        <w:ind w:firstLine="360"/>
        <w:jc w:val="both"/>
      </w:pPr>
      <w:r>
        <w:rPr>
          <w:rFonts w:ascii="Times New Roman" w:cs="Times New Roman" w:eastAsia="Times New Roman" w:hAnsi="Times New Roman"/>
          <w:sz w:val="20"/>
          <w:szCs w:val="20"/>
        </w:rPr>
        <w:t xml:space="preserve">Quantitative approaches to regional wine production modelling span several decades. Early work established that temperature and precipitation during critical phenological windows are the primary climate drivers of grapevine yield, with growing season mean temperature and harvest-period moisture availability consistently emerging as explanatory variables across European appellations [1,2]. At the regional aggregate level, linear regression models relating annual production to seasonal temperature and precipitation indices achieve R2 values of 0.30-0.55 in most European PDO regions, reflecting the moderate but genuine predictive power of climate over yield.</w:t>
      </w:r>
    </w:p>
    <w:p>
      <w:pPr>
        <w:spacing w:after="120" w:before="120"/>
        <w:ind w:firstLine="360"/>
        <w:jc w:val="both"/>
      </w:pPr>
      <w:r>
        <w:rPr>
          <w:rFonts w:ascii="Times New Roman" w:cs="Times New Roman" w:eastAsia="Times New Roman" w:hAnsi="Times New Roman"/>
          <w:sz w:val="20"/>
          <w:szCs w:val="20"/>
        </w:rPr>
        <w:t xml:space="preserve">More sophisticated approaches have employed generalised additive models, random forests, and support vector regression to capture non-linear climate-yield relationships, typically improving R2 by 0.05-0.15 over linear baselines. However, these gains come at the cost of interpretability: a black-box ensemble model cannot communicate to a vineyard manager which specific climate conditions in which phenological window drove an above-average or below-average harvest. For decision-support applications, interpretable rule-based representations have clear practical advantages over opaque ensembles.</w:t>
      </w:r>
    </w:p>
    <w:p>
      <w:pPr>
        <w:spacing w:after="120" w:before="120"/>
        <w:ind w:firstLine="360"/>
        <w:jc w:val="both"/>
      </w:pPr>
      <w:r>
        <w:rPr>
          <w:rFonts w:ascii="Times New Roman" w:cs="Times New Roman" w:eastAsia="Times New Roman" w:hAnsi="Times New Roman"/>
          <w:sz w:val="20"/>
          <w:szCs w:val="20"/>
        </w:rPr>
        <w:t xml:space="preserve">A further challenge specific to long historical series is structural non-stationarity. Regional production volumes are influenced not only by climate but also by regulatory changes, viticultural technology transitions, rural demographic trends, and EU agricultural policy. These structural factors introduce long-run trends and breaks that must be explicitly addressed before climate signals can be isolated. This work addresses this limitation through fold-correct linear detrending within a walk-forward protocol.</w:t>
      </w:r>
    </w:p>
    <w:p>
      <w:pPr>
        <w:spacing w:after="0" w:before="0" w:line="80"/>
      </w:pPr>
    </w:p>
    <w:p>
      <w:pPr>
        <w:pStyle w:val="Heading2"/>
      </w:pPr>
      <w:r>
        <w:rPr>
          <w:rFonts w:ascii="Times New Roman" w:cs="Times New Roman" w:eastAsia="Times New Roman" w:hAnsi="Times New Roman"/>
          <w:b/>
          <w:bCs/>
          <w:sz w:val="22"/>
          <w:szCs w:val="22"/>
        </w:rPr>
        <w:t xml:space="preserve">2.2  Subgroup Discovery and the CAREN Framework</w:t>
      </w:r>
    </w:p>
    <w:p>
      <w:pPr>
        <w:spacing w:after="120" w:before="120"/>
        <w:ind w:firstLine="360"/>
        <w:jc w:val="both"/>
      </w:pPr>
      <w:r>
        <w:rPr>
          <w:rFonts w:ascii="Times New Roman" w:cs="Times New Roman" w:eastAsia="Times New Roman" w:hAnsi="Times New Roman"/>
          <w:sz w:val="20"/>
          <w:szCs w:val="20"/>
        </w:rPr>
        <w:t xml:space="preserve">Subgroup discovery [3,4] is a form of supervised descriptive induction that searches for subgroups of a dataset for which a target measure of interest differs significantly from the overall population. Unlike classification, subgroup discovery does not aim to partition the feature space exhaustively; it instead identifies local patterns of interest, accepting that some observations fall in no discovered subgroup.</w:t>
      </w:r>
    </w:p>
    <w:p>
      <w:pPr>
        <w:spacing w:after="120" w:before="120"/>
        <w:ind w:firstLine="360"/>
        <w:jc w:val="both"/>
      </w:pPr>
      <w:r>
        <w:rPr>
          <w:rFonts w:ascii="Times New Roman" w:cs="Times New Roman" w:eastAsia="Times New Roman" w:hAnsi="Times New Roman"/>
          <w:sz w:val="20"/>
          <w:szCs w:val="20"/>
        </w:rPr>
        <w:t xml:space="preserve">The CAREN (Characterisation And Representation of Exceptional Nodes) framework [5] extends classical subgroup discovery to distributional targets: rather than comparing subgroup means, CAREN uses the Kolmogorov-Smirnov two-sample test to identify subgroups in which the full conditional distribution of a numeric target differs significantly from the complement distribution. The distributional framing is particularly appropriate for wine production, where the variable of interest is a continuous residual and where the relevant signal may be a distributional shift rather than a mean shift alone. CarenR, the R implementation used in this work, applies CAREN with configurable support and significance thresholds.</w:t>
      </w:r>
    </w:p>
    <w:p>
      <w:pPr>
        <w:spacing w:after="0" w:before="0" w:line="80"/>
      </w:pPr>
    </w:p>
    <w:p>
      <w:pPr>
        <w:pStyle w:val="Heading2"/>
      </w:pPr>
      <w:r>
        <w:rPr>
          <w:rFonts w:ascii="Times New Roman" w:cs="Times New Roman" w:eastAsia="Times New Roman" w:hAnsi="Times New Roman"/>
          <w:b/>
          <w:bCs/>
          <w:sz w:val="22"/>
          <w:szCs w:val="22"/>
        </w:rPr>
        <w:t xml:space="preserve">2.3  Rule-Based Classification and Regression in Agricultural Forecasting</w:t>
      </w:r>
    </w:p>
    <w:p>
      <w:pPr>
        <w:spacing w:after="120" w:before="120"/>
        <w:ind w:firstLine="360"/>
        <w:jc w:val="both"/>
      </w:pPr>
      <w:r>
        <w:rPr>
          <w:rFonts w:ascii="Times New Roman" w:cs="Times New Roman" w:eastAsia="Times New Roman" w:hAnsi="Times New Roman"/>
          <w:sz w:val="20"/>
          <w:szCs w:val="20"/>
        </w:rPr>
        <w:t xml:space="preserve">RIPPER (Repeated Incremental Pruning to Produce Error Reduction) [6] is a propositional rule learner that constructs ordered rule sets by greedy covering, with post-hoc optimisation and deletion phases to control overfitting. RIPPER has been applied in a variety of agricultural classification problems, including crop disease detection and irrigation scheduling, achieving accuracies competitive with decision trees while producing more compact and interpretable rule sets.</w:t>
      </w:r>
    </w:p>
    <w:p>
      <w:pPr>
        <w:spacing w:after="120" w:before="120"/>
        <w:ind w:firstLine="360"/>
        <w:jc w:val="both"/>
      </w:pPr>
      <w:r>
        <w:rPr>
          <w:rFonts w:ascii="Times New Roman" w:cs="Times New Roman" w:eastAsia="Times New Roman" w:hAnsi="Times New Roman"/>
          <w:sz w:val="20"/>
          <w:szCs w:val="20"/>
        </w:rPr>
        <w:t xml:space="preserve">M5Rules [7] adapts the M5 model tree learner to produce an ordered list of rules whose consequents are linear regression models. This representation is particularly suitable when the relationship between predictors and target varies across different regions of the feature space. M5Rules has been applied to crop yield prediction, though typically in data-rich experimental settings rather than the short historical series considered here. Both RIPPER and M5Rules are designed for i.i.d. samples; this work addresses temporal dependence through explicit pre-processing and walk-forward evaluation.</w:t>
      </w:r>
    </w:p>
    <w:p>
      <w:pPr>
        <w:spacing w:after="0" w:before="0" w:line="80"/>
      </w:pPr>
    </w:p>
    <w:p>
      <w:pPr>
        <w:pStyle w:val="Heading2"/>
      </w:pPr>
      <w:r>
        <w:rPr>
          <w:rFonts w:ascii="Times New Roman" w:cs="Times New Roman" w:eastAsia="Times New Roman" w:hAnsi="Times New Roman"/>
          <w:b/>
          <w:bCs/>
          <w:sz w:val="22"/>
          <w:szCs w:val="22"/>
        </w:rPr>
        <w:t xml:space="preserve">2.4  Positioning of This Work</w:t>
      </w:r>
    </w:p>
    <w:p>
      <w:pPr>
        <w:spacing w:after="120" w:before="120"/>
        <w:ind w:firstLine="360"/>
        <w:jc w:val="both"/>
      </w:pPr>
      <w:r>
        <w:rPr>
          <w:rFonts w:ascii="Times New Roman" w:cs="Times New Roman" w:eastAsia="Times New Roman" w:hAnsi="Times New Roman"/>
          <w:sz w:val="20"/>
          <w:szCs w:val="20"/>
        </w:rPr>
        <w:t xml:space="preserve">This paper differs from prior wine production modelling studies in three ways. First, it operates on 80-89 years of daily meteorological data aggregated to phenological-window features, a longer temporal span than most previous work. Second, it evaluates rule-based ML methods not only as discovery tools but also under a rigorous predictive evaluation protocol. Third, it explicitly classifies its statistical tests as confirmatory or exploratory, a discipline rarely observed in applied ML papers in agriculture. Together, these design choices allow a more honest assessment of what rule-based ML can and cannot achieve with short agricultural production series.</w:t>
      </w:r>
    </w:p>
    <w:p>
      <w:pPr>
        <w:spacing w:after="0" w:before="0" w:line="240"/>
      </w:pPr>
    </w:p>
    <w:p>
      <w:pPr>
        <w:pStyle w:val="Heading1"/>
      </w:pPr>
      <w:r>
        <w:rPr>
          <w:rFonts w:ascii="Times New Roman" w:cs="Times New Roman" w:eastAsia="Times New Roman" w:hAnsi="Times New Roman"/>
          <w:b/>
          <w:bCs/>
          <w:color w:val="1F3864"/>
          <w:sz w:val="26"/>
          <w:szCs w:val="26"/>
        </w:rPr>
        <w:t xml:space="preserve">3  Methodology</w:t>
      </w:r>
    </w:p>
    <w:p>
      <w:pPr>
        <w:spacing w:after="0" w:before="0" w:line="80"/>
      </w:pPr>
    </w:p>
    <w:p>
      <w:pPr>
        <w:pStyle w:val="Heading2"/>
      </w:pPr>
      <w:r>
        <w:rPr>
          <w:rFonts w:ascii="Times New Roman" w:cs="Times New Roman" w:eastAsia="Times New Roman" w:hAnsi="Times New Roman"/>
          <w:b/>
          <w:bCs/>
          <w:sz w:val="22"/>
          <w:szCs w:val="22"/>
        </w:rPr>
        <w:t xml:space="preserve">3.1  Feature Engineering</w:t>
      </w:r>
    </w:p>
    <w:p>
      <w:pPr>
        <w:spacing w:after="120" w:before="120"/>
        <w:ind w:firstLine="360"/>
        <w:jc w:val="both"/>
      </w:pPr>
      <w:r>
        <w:rPr>
          <w:rFonts w:ascii="Times New Roman" w:cs="Times New Roman" w:eastAsia="Times New Roman" w:hAnsi="Times New Roman"/>
          <w:sz w:val="20"/>
          <w:szCs w:val="20"/>
        </w:rPr>
        <w:t xml:space="preserve">Climate variables are aggregated from daily meteorological records over phenological windows aligned to the grapevine growth calendar. Five phenological stages are considered: Bud Break (BB), Flowering (FL), Fruit Set (Fs; RDD only), Start of Maturity (sM), and Harvest (Hv). Features are computed both within each stage window and across post-stage windows (e.g., 20 days after flowering), yielding a 59-dimensional feature space.</w:t>
      </w:r>
    </w:p>
    <w:p>
      <w:pPr>
        <w:spacing w:after="120" w:before="120"/>
        <w:ind w:firstLine="360"/>
        <w:jc w:val="both"/>
      </w:pPr>
      <w:r>
        <w:rPr>
          <w:rFonts w:ascii="Times New Roman" w:cs="Times New Roman" w:eastAsia="Times New Roman" w:hAnsi="Times New Roman"/>
          <w:sz w:val="20"/>
          <w:szCs w:val="20"/>
        </w:rPr>
        <w:t xml:space="preserve">Feature naming follows the convention variable_stage_year_positionwidth. For example, swa_hv_y1_b20 denotes soil water content (swa), measured in the 20-day window before harvest (b20), in the current production year (y1). The 59 features span ten variable families: mean temperature (tm, 12 features), leaf area index (iaf, 10), soil water below 15% wilting point (sw.less.15wp, 8), rainy days above 1 mm (days.rf.above.1mm, 6), soil water available (swa, 5), soil water above 90% field capacity (sw.above.09fc, 4), extreme heat days (days.maxTemp.above.35, 4), total rainfall (rf, 3), cold nights (tm.days.less.15, 2), frost days (days.minTemp.less.0, 2), minimum temperature (tn, 1), and two previous-year variants (y0).</w:t>
      </w:r>
    </w:p>
    <w:p>
      <w:pPr>
        <w:spacing w:after="0" w:before="0" w:line="80"/>
      </w:pPr>
    </w:p>
    <w:p>
      <w:pPr>
        <w:pStyle w:val="Heading2"/>
      </w:pPr>
      <w:r>
        <w:rPr>
          <w:rFonts w:ascii="Times New Roman" w:cs="Times New Roman" w:eastAsia="Times New Roman" w:hAnsi="Times New Roman"/>
          <w:b/>
          <w:bCs/>
          <w:sz w:val="22"/>
          <w:szCs w:val="22"/>
        </w:rPr>
        <w:t xml:space="preserve">3.2  Detrending and Stationarity</w:t>
      </w:r>
    </w:p>
    <w:p>
      <w:pPr>
        <w:spacing w:after="120" w:before="120"/>
        <w:ind w:firstLine="360"/>
        <w:jc w:val="both"/>
      </w:pPr>
      <w:r>
        <w:rPr>
          <w:rFonts w:ascii="Times New Roman" w:cs="Times New Roman" w:eastAsia="Times New Roman" w:hAnsi="Times New Roman"/>
          <w:sz w:val="20"/>
          <w:szCs w:val="20"/>
        </w:rPr>
        <w:t xml:space="preserve">Annual production volumes contain a long-run structural trend. To isolate inter-annual climate residuals, a fold-correct linear detrending protocol is applied: for each training fold, an OLS regression Wine_mhl = alpha + beta * t is fitted on the training observations only, and its predictions are subtracted from all training and test observations in that fold. This ensures that no information from future years contaminates the detrending step.</w:t>
      </w:r>
    </w:p>
    <w:p>
      <w:pPr>
        <w:spacing w:after="120" w:before="120"/>
        <w:ind w:firstLine="360"/>
        <w:jc w:val="both"/>
      </w:pPr>
      <w:r>
        <w:rPr>
          <w:rFonts w:ascii="Times New Roman" w:cs="Times New Roman" w:eastAsia="Times New Roman" w:hAnsi="Times New Roman"/>
          <w:sz w:val="20"/>
          <w:szCs w:val="20"/>
        </w:rPr>
        <w:t xml:space="preserve">Formal stationarity is verified using the Augmented Dickey-Fuller (ADF) and KPSS tests. RDD residuals are fully stationary post-detrend (ADF p&lt;0.001, KPSS p=0.10). RVV residuals pass KPSS but fail ADF (p=0.37), indicating only partial stationarity. This motivates the LOESS detrending sensitivity analysis (span=0.40). LOESS increases the RDD Naive_Median baseline from 184 to 290 mhl and suppresses all RVV rules to zero; linear detrending is therefore retained for all primary analyses.</w:t>
      </w:r>
    </w:p>
    <w:p>
      <w:pPr>
        <w:spacing w:after="0" w:before="0" w:line="80"/>
      </w:pPr>
    </w:p>
    <w:p>
      <w:pPr>
        <w:pStyle w:val="Heading2"/>
      </w:pPr>
      <w:r>
        <w:rPr>
          <w:rFonts w:ascii="Times New Roman" w:cs="Times New Roman" w:eastAsia="Times New Roman" w:hAnsi="Times New Roman"/>
          <w:b/>
          <w:bCs/>
          <w:sz w:val="22"/>
          <w:szCs w:val="22"/>
        </w:rPr>
        <w:t xml:space="preserve">3.3  Two-Decision Decomposition</w:t>
      </w:r>
    </w:p>
    <w:p>
      <w:pPr>
        <w:spacing w:after="120" w:before="120"/>
        <w:ind w:firstLine="360"/>
        <w:jc w:val="both"/>
      </w:pPr>
      <w:r>
        <w:rPr>
          <w:rFonts w:ascii="Times New Roman" w:cs="Times New Roman" w:eastAsia="Times New Roman" w:hAnsi="Times New Roman"/>
          <w:sz w:val="20"/>
          <w:szCs w:val="20"/>
        </w:rPr>
        <w:t xml:space="preserve">The prediction pipeline is formalised as two sequential decisions with conflicting demands. Decision 1 (trend modelling quality) is captured by the Naive_Median MAE: a better-fitting trend reduces the baseline directly. Decision 2 (climate signal extraction) requires detrended residuals to contain sufficient structured signal for a rule-based model to improve on the zero-residual prediction. A detrending method that improves Decision 1 by aggressively removing trend variance simultaneously reduces the structured residual available for Decision 2. This trade-off requires separate structural-trend and climate covariates to resolve; it cannot be addressed by tuning a single detrending hyperparameter.</w:t>
      </w:r>
    </w:p>
    <w:p>
      <w:pPr>
        <w:spacing w:after="0" w:before="0" w:line="80"/>
      </w:pPr>
    </w:p>
    <w:p>
      <w:pPr>
        <w:pStyle w:val="Heading2"/>
      </w:pPr>
      <w:r>
        <w:rPr>
          <w:rFonts w:ascii="Times New Roman" w:cs="Times New Roman" w:eastAsia="Times New Roman" w:hAnsi="Times New Roman"/>
          <w:b/>
          <w:bCs/>
          <w:sz w:val="22"/>
          <w:szCs w:val="22"/>
        </w:rPr>
        <w:t xml:space="preserve">3.4  Algorithms</w:t>
      </w:r>
    </w:p>
    <w:p>
      <w:pPr>
        <w:pStyle w:val="Heading3"/>
      </w:pPr>
      <w:r>
        <w:rPr>
          <w:rFonts w:ascii="Times New Roman" w:cs="Times New Roman" w:eastAsia="Times New Roman" w:hAnsi="Times New Roman"/>
          <w:b/>
          <w:bCs/>
          <w:i/>
          <w:iCs/>
          <w:sz w:val="20"/>
          <w:szCs w:val="20"/>
        </w:rPr>
        <w:t xml:space="preserve">3.4.1  CarenR (Distributional Subgroup Discovery)</w:t>
      </w:r>
    </w:p>
    <w:p>
      <w:pPr>
        <w:spacing w:after="120" w:before="120"/>
        <w:ind w:firstLine="360"/>
        <w:jc w:val="both"/>
      </w:pPr>
      <w:r>
        <w:rPr>
          <w:rFonts w:ascii="Times New Roman" w:cs="Times New Roman" w:eastAsia="Times New Roman" w:hAnsi="Times New Roman"/>
          <w:sz w:val="20"/>
          <w:szCs w:val="20"/>
        </w:rPr>
        <w:t xml:space="preserve">CarenR searches for conjunctive conditions on discretised features such that the distribution of production residuals within the matching subgroup differs significantly from the complement (KS test, p&lt;=0.10). Minimum support is 20% of training observations. Features are discretised into four equal-frequency bins within each training fold. Eleven CarenR variants are evaluated differing in their feature selection strategy: CarenR_Dist (all 59 features), CarenR_Dist_FS (Pearson |r|, top-N), CarenR_Dist_Eta2 (eta-squared ANOVA effect size), CarenR_Dist_Sup_FS (Pearson + 20% support filter), CarenR_Dist_Thresh (|r|&gt;=0.30), CarenR_Dist_Sup (support-only), CarenR_Dist_Lag (ACF-based lag features), CarenR_Dist_Conf (confidence-weighted), CarenR_Dist_Sup_Thresh (threshold+support), CarenR_Dist_Stack (two-stage stacking), and CarenR_Supervised (supervised per-fold binning). Predictions use support-weighted aggregation of rule medians: y-hat = sum(si * mi) / sum(si), where si is support fraction and mi is subgroup median residual. If no rules fire, the model falls back to the training median.</w:t>
      </w:r>
    </w:p>
    <w:p>
      <w:pPr>
        <w:pStyle w:val="Heading3"/>
      </w:pPr>
      <w:r>
        <w:rPr>
          <w:rFonts w:ascii="Times New Roman" w:cs="Times New Roman" w:eastAsia="Times New Roman" w:hAnsi="Times New Roman"/>
          <w:b/>
          <w:bCs/>
          <w:i/>
          <w:iCs/>
          <w:sz w:val="20"/>
          <w:szCs w:val="20"/>
        </w:rPr>
        <w:t xml:space="preserve">3.4.2  RIPPER (Rule-Based Classification)</w:t>
      </w:r>
    </w:p>
    <w:p>
      <w:pPr>
        <w:spacing w:after="120" w:before="120"/>
        <w:ind w:firstLine="360"/>
        <w:jc w:val="both"/>
      </w:pPr>
      <w:r>
        <w:rPr>
          <w:rFonts w:ascii="Times New Roman" w:cs="Times New Roman" w:eastAsia="Times New Roman" w:hAnsi="Times New Roman"/>
          <w:sz w:val="20"/>
          <w:szCs w:val="20"/>
        </w:rPr>
        <w:t xml:space="preserve">RIPPER (JRip in Weka) is applied with the production residual discretised into tertiles (below-trend, on-trend, above-trend). Configuration: N=4 optimisation rounds, O=3 minimum objects per leaf, F=3 folds for pruning; 10-fold cross-validation for evaluation. Class medians from training data convert predictions to continuous residuals for MAE computation.</w:t>
      </w:r>
    </w:p>
    <w:p>
      <w:pPr>
        <w:pStyle w:val="Heading3"/>
      </w:pPr>
      <w:r>
        <w:rPr>
          <w:rFonts w:ascii="Times New Roman" w:cs="Times New Roman" w:eastAsia="Times New Roman" w:hAnsi="Times New Roman"/>
          <w:b/>
          <w:bCs/>
          <w:i/>
          <w:iCs/>
          <w:sz w:val="20"/>
          <w:szCs w:val="20"/>
        </w:rPr>
        <w:t xml:space="preserve">3.4.3  M5Rules (Piecewise Linear Regression)</w:t>
      </w:r>
    </w:p>
    <w:p>
      <w:pPr>
        <w:spacing w:after="120" w:before="120"/>
        <w:ind w:firstLine="360"/>
        <w:jc w:val="both"/>
      </w:pPr>
      <w:r>
        <w:rPr>
          <w:rFonts w:ascii="Times New Roman" w:cs="Times New Roman" w:eastAsia="Times New Roman" w:hAnsi="Times New Roman"/>
          <w:sz w:val="20"/>
          <w:szCs w:val="20"/>
        </w:rPr>
        <w:t xml:space="preserve">M5Rules (Weka) constructs an ordered list of rules with linear regression consequents. In both regions, M5Rules collapses to a single global linear model (no beneficial split), yielding training R2 of 0.55 (RDD) and 0.58 (RVV) but cross-validated R2 of 0.004 (RDD) and -0.07 (RVV), indicating near-complete overfitting.</w:t>
      </w:r>
    </w:p>
    <w:p>
      <w:pPr>
        <w:spacing w:after="0" w:before="0" w:line="80"/>
      </w:pPr>
    </w:p>
    <w:p>
      <w:pPr>
        <w:pStyle w:val="Heading2"/>
      </w:pPr>
      <w:r>
        <w:rPr>
          <w:rFonts w:ascii="Times New Roman" w:cs="Times New Roman" w:eastAsia="Times New Roman" w:hAnsi="Times New Roman"/>
          <w:b/>
          <w:bCs/>
          <w:sz w:val="22"/>
          <w:szCs w:val="22"/>
        </w:rPr>
        <w:t xml:space="preserve">3.5  Evaluation Protocol</w:t>
      </w:r>
    </w:p>
    <w:p>
      <w:pPr>
        <w:spacing w:after="120" w:before="120"/>
        <w:ind w:firstLine="360"/>
        <w:jc w:val="both"/>
      </w:pPr>
      <w:r>
        <w:rPr>
          <w:rFonts w:ascii="Times New Roman" w:cs="Times New Roman" w:eastAsia="Times New Roman" w:hAnsi="Times New Roman"/>
          <w:sz w:val="20"/>
          <w:szCs w:val="20"/>
        </w:rPr>
        <w:t xml:space="preserve">Walk-forward expanding-window cross-validation is used throughout. For scenario s, the training set covers all years through t_s and the test set is the single next year t_s+1. The minimum training fraction is 80%, yielding 18 scenarios for RDD (test years 2004-2021) and 16 for RVV (test years 2006-2021). All preprocessing is within-fold. The primary metric is weighted mean absolute error: wMAE = sum(n_s * MAE_s) / sum(n_s), where n_s is the training-set size of scenario s. Four baselines are evaluated: Naive_Median, Naive (last-year value), Naive_MA (3-year moving average), and Decision Tree. Seventeen models are evaluated in total.</w:t>
      </w:r>
    </w:p>
    <w:p>
      <w:pPr>
        <w:spacing w:after="0" w:before="0" w:line="240"/>
      </w:pPr>
    </w:p>
    <w:p>
      <w:pPr>
        <w:pStyle w:val="Heading1"/>
      </w:pPr>
      <w:r>
        <w:rPr>
          <w:rFonts w:ascii="Times New Roman" w:cs="Times New Roman" w:eastAsia="Times New Roman" w:hAnsi="Times New Roman"/>
          <w:b/>
          <w:bCs/>
          <w:color w:val="1F3864"/>
          <w:sz w:val="26"/>
          <w:szCs w:val="26"/>
        </w:rPr>
        <w:t xml:space="preserve">4  Data and Experimental Setup</w:t>
      </w:r>
    </w:p>
    <w:p>
      <w:pPr>
        <w:spacing w:after="0" w:before="0" w:line="80"/>
      </w:pPr>
    </w:p>
    <w:p>
      <w:pPr>
        <w:pStyle w:val="Heading2"/>
      </w:pPr>
      <w:r>
        <w:rPr>
          <w:rFonts w:ascii="Times New Roman" w:cs="Times New Roman" w:eastAsia="Times New Roman" w:hAnsi="Times New Roman"/>
          <w:b/>
          <w:bCs/>
          <w:sz w:val="22"/>
          <w:szCs w:val="22"/>
        </w:rPr>
        <w:t xml:space="preserve">4.1  Data Sources and Regions</w:t>
      </w:r>
    </w:p>
    <w:p>
      <w:pPr>
        <w:spacing w:after="120" w:before="120"/>
        <w:ind w:firstLine="360"/>
        <w:jc w:val="both"/>
      </w:pPr>
      <w:r>
        <w:rPr>
          <w:rFonts w:ascii="Times New Roman" w:cs="Times New Roman" w:eastAsia="Times New Roman" w:hAnsi="Times New Roman"/>
          <w:sz w:val="20"/>
          <w:szCs w:val="20"/>
        </w:rPr>
        <w:t xml:space="preserve">The analysis covers two Portuguese wine PDO regions. The Douro (RDD) dataset spans 1934-2022, yielding 89 annual observations. The Vinho Verde (RVV) dataset spans 1942-2021, yielding 80 annual observations. Annual certified production volumes (in thousands of hectolitres, mhl) are sourced from the respective interprofessional bodies (IVDP for Douro; CVRVV for Vinho Verde). Daily meteorological data are provided by IPMA, aggregated to the regional level using area-weighted means.</w:t>
      </w:r>
    </w:p>
    <w:p>
      <w:pPr>
        <w:spacing w:after="120" w:before="120"/>
        <w:ind w:firstLine="360"/>
        <w:jc w:val="both"/>
      </w:pPr>
      <w:r>
        <w:rPr>
          <w:rFonts w:ascii="Times New Roman" w:cs="Times New Roman" w:eastAsia="Times New Roman" w:hAnsi="Times New Roman"/>
          <w:sz w:val="20"/>
          <w:szCs w:val="20"/>
        </w:rPr>
        <w:t xml:space="preserve">The two regions differ markedly in their long-run production trajectories. RDD production increased approximately 80% over the study period, with a smooth upward trend that linear detrending captures adequately. RVV production declined approximately 65%, concentrated in the 1986-2005 period driven by EU accession, grubbing-up subsidies, and rural exodus. The coefficient of variation is 47% for both regions, indicating substantial inter-annual variability relative to the trend.</w:t>
      </w:r>
    </w:p>
    <w:p>
      <w:pPr>
        <w:spacing w:after="0" w:before="0" w:line="80"/>
      </w:pPr>
    </w:p>
    <w:p>
      <w:pPr>
        <w:pStyle w:val="Heading2"/>
      </w:pPr>
      <w:r>
        <w:rPr>
          <w:rFonts w:ascii="Times New Roman" w:cs="Times New Roman" w:eastAsia="Times New Roman" w:hAnsi="Times New Roman"/>
          <w:b/>
          <w:bCs/>
          <w:sz w:val="22"/>
          <w:szCs w:val="22"/>
        </w:rPr>
        <w:t xml:space="preserve">4.2  Dataset Summary</w:t>
      </w:r>
    </w:p>
    <w:p>
      <w:pPr>
        <w:spacing w:after="0" w:before="0" w:lin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3277"/>
        <w:gridCol w:w="3277"/>
      </w:tblGrid>
      <w:tr>
        <w:tc>
          <w:tcPr>
            <w:tcW w:type="dxa" w:w="3084"/>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8"/>
                <w:szCs w:val="18"/>
              </w:rPr>
              <w:t xml:space="preserve">Property</w:t>
            </w:r>
          </w:p>
        </w:tc>
        <w:tc>
          <w:tcPr>
            <w:tcW w:type="dxa" w:w="3277"/>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8"/>
                <w:szCs w:val="18"/>
              </w:rPr>
              <w:t xml:space="preserve">RDD (Douro)</w:t>
            </w:r>
          </w:p>
        </w:tc>
        <w:tc>
          <w:tcPr>
            <w:tcW w:type="dxa" w:w="3277"/>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8"/>
                <w:szCs w:val="18"/>
              </w:rPr>
              <w:t xml:space="preserve">RVV (Vinho Verde)</w:t>
            </w:r>
          </w:p>
        </w:tc>
      </w:tr>
      <w:tr>
        <w:tc>
          <w:tcPr>
            <w:tcW w:type="dxa" w:w="3084"/>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Observations (n)</w:t>
            </w:r>
          </w:p>
        </w:tc>
        <w:tc>
          <w:tcPr>
            <w:tcW w:type="dxa" w:w="3277"/>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89</w:t>
            </w:r>
          </w:p>
        </w:tc>
        <w:tc>
          <w:tcPr>
            <w:tcW w:type="dxa" w:w="3277"/>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80</w:t>
            </w:r>
          </w:p>
        </w:tc>
      </w:tr>
      <w:tr>
        <w:tc>
          <w:tcPr>
            <w:tcW w:type="dxa" w:w="3084"/>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Time span</w:t>
            </w:r>
          </w:p>
        </w:tc>
        <w:tc>
          <w:tcPr>
            <w:tcW w:type="dxa" w:w="3277"/>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1934-2022</w:t>
            </w:r>
          </w:p>
        </w:tc>
        <w:tc>
          <w:tcPr>
            <w:tcW w:type="dxa" w:w="3277"/>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1942-2021</w:t>
            </w:r>
          </w:p>
        </w:tc>
      </w:tr>
      <w:tr>
        <w:tc>
          <w:tcPr>
            <w:tcW w:type="dxa" w:w="3084"/>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Mean production (mhl)</w:t>
            </w:r>
          </w:p>
        </w:tc>
        <w:tc>
          <w:tcPr>
            <w:tcW w:type="dxa" w:w="3277"/>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1,395</w:t>
            </w:r>
          </w:p>
        </w:tc>
        <w:tc>
          <w:tcPr>
            <w:tcW w:type="dxa" w:w="3277"/>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758</w:t>
            </w:r>
          </w:p>
        </w:tc>
      </w:tr>
      <w:tr>
        <w:tc>
          <w:tcPr>
            <w:tcW w:type="dxa" w:w="3084"/>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Coefficient of variation</w:t>
            </w:r>
          </w:p>
        </w:tc>
        <w:tc>
          <w:tcPr>
            <w:tcW w:type="dxa" w:w="3277"/>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47%</w:t>
            </w:r>
          </w:p>
        </w:tc>
        <w:tc>
          <w:tcPr>
            <w:tcW w:type="dxa" w:w="3277"/>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47%</w:t>
            </w:r>
          </w:p>
        </w:tc>
      </w:tr>
      <w:tr>
        <w:tc>
          <w:tcPr>
            <w:tcW w:type="dxa" w:w="3084"/>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Long-run trend</w:t>
            </w:r>
          </w:p>
        </w:tc>
        <w:tc>
          <w:tcPr>
            <w:tcW w:type="dxa" w:w="3277"/>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+80% (gradual growth)</w:t>
            </w:r>
          </w:p>
        </w:tc>
        <w:tc>
          <w:tcPr>
            <w:tcW w:type="dxa" w:w="3277"/>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-65% (structural decline)</w:t>
            </w:r>
          </w:p>
        </w:tc>
      </w:tr>
      <w:tr>
        <w:tc>
          <w:tcPr>
            <w:tcW w:type="dxa" w:w="3084"/>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ADF p-value (post-detrend)</w:t>
            </w:r>
          </w:p>
        </w:tc>
        <w:tc>
          <w:tcPr>
            <w:tcW w:type="dxa" w:w="3277"/>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&lt;0.001 (stationary)</w:t>
            </w:r>
          </w:p>
        </w:tc>
        <w:tc>
          <w:tcPr>
            <w:tcW w:type="dxa" w:w="3277"/>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0.37 (non-stationary)</w:t>
            </w:r>
          </w:p>
        </w:tc>
      </w:tr>
      <w:tr>
        <w:tc>
          <w:tcPr>
            <w:tcW w:type="dxa" w:w="3084"/>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KPSS p-value (post-detrend)</w:t>
            </w:r>
          </w:p>
        </w:tc>
        <w:tc>
          <w:tcPr>
            <w:tcW w:type="dxa" w:w="3277"/>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0.10 (fail to reject)</w:t>
            </w:r>
          </w:p>
        </w:tc>
        <w:tc>
          <w:tcPr>
            <w:tcW w:type="dxa" w:w="3277"/>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&gt;0.10 (fail to reject)</w:t>
            </w:r>
          </w:p>
        </w:tc>
      </w:tr>
      <w:tr>
        <w:tc>
          <w:tcPr>
            <w:tcW w:type="dxa" w:w="3084"/>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Walk-forward scenarios</w:t>
            </w:r>
          </w:p>
        </w:tc>
        <w:tc>
          <w:tcPr>
            <w:tcW w:type="dxa" w:w="3277"/>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18</w:t>
            </w:r>
          </w:p>
        </w:tc>
        <w:tc>
          <w:tcPr>
            <w:tcW w:type="dxa" w:w="3277"/>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16</w:t>
            </w:r>
          </w:p>
        </w:tc>
      </w:tr>
      <w:tr>
        <w:tc>
          <w:tcPr>
            <w:tcW w:type="dxa" w:w="3084"/>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Feature dimensions</w:t>
            </w:r>
          </w:p>
        </w:tc>
        <w:tc>
          <w:tcPr>
            <w:tcW w:type="dxa" w:w="3277"/>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59</w:t>
            </w:r>
          </w:p>
        </w:tc>
        <w:tc>
          <w:tcPr>
            <w:tcW w:type="dxa" w:w="3277"/>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59</w:t>
            </w:r>
          </w:p>
        </w:tc>
      </w:tr>
    </w:tbl>
    <w:p>
      <w:pPr>
        <w:spacing w:after="180" w:before="60"/>
        <w:jc w:val="center"/>
      </w:pPr>
      <w:r>
        <w:rPr>
          <w:rFonts w:ascii="Times New Roman" w:cs="Times New Roman" w:eastAsia="Times New Roman" w:hAnsi="Times New Roman"/>
          <w:i/>
          <w:iCs/>
          <w:sz w:val="18"/>
          <w:szCs w:val="18"/>
        </w:rPr>
        <w:t xml:space="preserve">Table 1. Dataset summary for both wine regions.</w:t>
      </w:r>
    </w:p>
    <w:p>
      <w:pPr>
        <w:spacing w:after="0" w:before="0" w:line="160"/>
      </w:pPr>
    </w:p>
    <w:p>
      <w:pPr>
        <w:pStyle w:val="Heading2"/>
      </w:pPr>
      <w:r>
        <w:rPr>
          <w:rFonts w:ascii="Times New Roman" w:cs="Times New Roman" w:eastAsia="Times New Roman" w:hAnsi="Times New Roman"/>
          <w:b/>
          <w:bCs/>
          <w:sz w:val="22"/>
          <w:szCs w:val="22"/>
        </w:rPr>
        <w:t xml:space="preserve">4.3  Experimental Setup</w:t>
      </w:r>
    </w:p>
    <w:p>
      <w:pPr>
        <w:spacing w:after="120" w:before="120"/>
        <w:ind w:firstLine="360"/>
        <w:jc w:val="both"/>
      </w:pPr>
      <w:r>
        <w:rPr>
          <w:rFonts w:ascii="Times New Roman" w:cs="Times New Roman" w:eastAsia="Times New Roman" w:hAnsi="Times New Roman"/>
          <w:sz w:val="20"/>
          <w:szCs w:val="20"/>
        </w:rPr>
        <w:t xml:space="preserve">All three algorithms are applied to both regions under the same walk-forward protocol. Seventeen models are evaluated: 4 baselines (Naive_Median, Naive, Naive_MA, Decision Tree), RIPPER, M5Rules, and 11 CarenR variants. All preprocessing is within-fold. Random seed: 42. CarenR minimum support: 20%; KS significance: p&lt;=0.10. RIPPER: 10-fold internal CV. M5Rules: default Weka settings. CarenR variants retain 10-20 features depending on variant and fold.</w:t>
      </w:r>
    </w:p>
    <w:p>
      <w:pPr>
        <w:spacing w:after="0" w:before="0" w:line="240"/>
      </w:pPr>
    </w:p>
    <w:p>
      <w:pPr>
        <w:pStyle w:val="Heading1"/>
      </w:pPr>
      <w:r>
        <w:rPr>
          <w:rFonts w:ascii="Times New Roman" w:cs="Times New Roman" w:eastAsia="Times New Roman" w:hAnsi="Times New Roman"/>
          <w:b/>
          <w:bCs/>
          <w:color w:val="1F3864"/>
          <w:sz w:val="26"/>
          <w:szCs w:val="26"/>
        </w:rPr>
        <w:t xml:space="preserve">5  Experiments and Results</w:t>
      </w:r>
    </w:p>
    <w:p>
      <w:pPr>
        <w:spacing w:after="0" w:before="0" w:line="80"/>
      </w:pPr>
    </w:p>
    <w:p>
      <w:pPr>
        <w:pStyle w:val="Heading2"/>
      </w:pPr>
      <w:r>
        <w:rPr>
          <w:rFonts w:ascii="Times New Roman" w:cs="Times New Roman" w:eastAsia="Times New Roman" w:hAnsi="Times New Roman"/>
          <w:b/>
          <w:bCs/>
          <w:sz w:val="22"/>
          <w:szCs w:val="22"/>
        </w:rPr>
        <w:t xml:space="preserve">5.1  Goal 1: Rule Discovery</w:t>
      </w:r>
    </w:p>
    <w:p>
      <w:pPr>
        <w:spacing w:after="0" w:before="0" w:line="80"/>
      </w:pPr>
    </w:p>
    <w:p>
      <w:pPr>
        <w:pStyle w:val="Heading3"/>
      </w:pPr>
      <w:r>
        <w:rPr>
          <w:rFonts w:ascii="Times New Roman" w:cs="Times New Roman" w:eastAsia="Times New Roman" w:hAnsi="Times New Roman"/>
          <w:b/>
          <w:bCs/>
          <w:i/>
          <w:iCs/>
          <w:sz w:val="20"/>
          <w:szCs w:val="20"/>
        </w:rPr>
        <w:t xml:space="preserve">5.1.1  CarenR Rules -- Douro (RDD)</w:t>
      </w:r>
    </w:p>
    <w:p>
      <w:pPr>
        <w:spacing w:after="120" w:before="120"/>
        <w:ind w:firstLine="360"/>
        <w:jc w:val="both"/>
      </w:pPr>
      <w:r>
        <w:rPr>
          <w:rFonts w:ascii="Times New Roman" w:cs="Times New Roman" w:eastAsia="Times New Roman" w:hAnsi="Times New Roman"/>
          <w:sz w:val="20"/>
          <w:szCs w:val="20"/>
        </w:rPr>
        <w:t xml:space="preserve">CarenR discovers 48 rules for RDD. The rule set is dominated by two backbone features: soil water available at harvest in the 20-day pre-harvest window (swa_hv_y1_b20), appearing in approximately 54% of all rules, and rainy days above 1mm post-start-of-maturity (days.rf.above.1mm_sm_y1_a20), appearing in approximately 44%. The dominant pattern is that moderate pre-harvest soil water deficit (swa_hv_y1_b20 in the second quartile, approximately 74-231 mm) is associated with above-trend production, while severe deficit (first quartile) or high soil water are associated with at- or below-trend production. This is agronomically consistent with the well-established yield response to mild water stress in Douro viticulture: moderate deficit concentrates sugars without imposing severe yield losses.</w:t>
      </w:r>
    </w:p>
    <w:p>
      <w:pPr>
        <w:spacing w:after="120" w:before="120"/>
        <w:ind w:firstLine="360"/>
        <w:jc w:val="both"/>
      </w:pPr>
      <w:r>
        <w:rPr>
          <w:rFonts w:ascii="Times New Roman" w:cs="Times New Roman" w:eastAsia="Times New Roman" w:hAnsi="Times New Roman"/>
          <w:sz w:val="20"/>
          <w:szCs w:val="20"/>
        </w:rPr>
        <w:t xml:space="preserve">The top-5 most frequently fired rules are shown in Table 2. A key finding is that the directional effect of pre-harvest soil water stress differs between the two regions: in RDD, moderate deficit is a positive signal; in RVV, the same variable in the same quartile is associated with below-trend production. This directional inversion reflects the fundamental climatic contrast between the semi-arid Douro and the Atlantic Minho.</w:t>
      </w:r>
    </w:p>
    <w:p>
      <w:pPr>
        <w:spacing w:after="0" w:before="0" w:lin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964"/>
        <w:gridCol w:w="964"/>
        <w:gridCol w:w="1157"/>
        <w:gridCol w:w="2505"/>
      </w:tblGrid>
      <w:tr>
        <w:tc>
          <w:tcPr>
            <w:tcW w:type="dxa" w:w="404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6"/>
                <w:szCs w:val="16"/>
              </w:rPr>
              <w:t xml:space="preserve">Rule condition (simplified)</w:t>
            </w:r>
          </w:p>
        </w:tc>
        <w:tc>
          <w:tcPr>
            <w:tcW w:type="dxa" w:w="964"/>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6"/>
                <w:szCs w:val="16"/>
              </w:rPr>
              <w:t xml:space="preserve">Support</w:t>
            </w:r>
          </w:p>
        </w:tc>
        <w:tc>
          <w:tcPr>
            <w:tcW w:type="dxa" w:w="964"/>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6"/>
                <w:szCs w:val="16"/>
              </w:rPr>
              <w:t xml:space="preserve">KS p</w:t>
            </w:r>
          </w:p>
        </w:tc>
        <w:tc>
          <w:tcPr>
            <w:tcW w:type="dxa" w:w="1157"/>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6"/>
                <w:szCs w:val="16"/>
              </w:rPr>
              <w:t xml:space="preserve">Direction</w:t>
            </w:r>
          </w:p>
        </w:tc>
        <w:tc>
          <w:tcPr>
            <w:tcW w:type="dxa" w:w="2505"/>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6"/>
                <w:szCs w:val="16"/>
              </w:rPr>
              <w:t xml:space="preserve">Interpretation</w:t>
            </w:r>
          </w:p>
        </w:tc>
      </w:tr>
      <w:tr>
        <w:tc>
          <w:tcPr>
            <w:tcW w:type="dxa" w:w="404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6"/>
                <w:szCs w:val="16"/>
              </w:rPr>
              <w:t xml:space="preserve">swa_hv_y1_b20 in Q2 (74-231 mm)</w:t>
            </w:r>
          </w:p>
        </w:tc>
        <w:tc>
          <w:tcPr>
            <w:tcW w:type="dxa" w:w="964"/>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~54%</w:t>
            </w:r>
          </w:p>
        </w:tc>
        <w:tc>
          <w:tcPr>
            <w:tcW w:type="dxa" w:w="964"/>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&lt;0.05</w:t>
            </w:r>
          </w:p>
        </w:tc>
        <w:tc>
          <w:tcPr>
            <w:tcW w:type="dxa" w:w="1157"/>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6"/>
                <w:szCs w:val="16"/>
              </w:rPr>
              <w:t xml:space="preserve">Above-trend</w:t>
            </w:r>
          </w:p>
        </w:tc>
        <w:tc>
          <w:tcPr>
            <w:tcW w:type="dxa" w:w="2505"/>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6"/>
                <w:szCs w:val="16"/>
              </w:rPr>
              <w:t xml:space="preserve">Moderate pre-harvest deficit favours yield</w:t>
            </w:r>
          </w:p>
        </w:tc>
      </w:tr>
      <w:tr>
        <w:tc>
          <w:tcPr>
            <w:tcW w:type="dxa" w:w="4048"/>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6"/>
                <w:szCs w:val="16"/>
              </w:rPr>
              <w:t xml:space="preserve">days.rf.above.1mm_sm_y1_a20 in Q3-Q4</w:t>
            </w:r>
          </w:p>
        </w:tc>
        <w:tc>
          <w:tcPr>
            <w:tcW w:type="dxa" w:w="964"/>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~44%</w:t>
            </w:r>
          </w:p>
        </w:tc>
        <w:tc>
          <w:tcPr>
            <w:tcW w:type="dxa" w:w="964"/>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&lt;0.05</w:t>
            </w:r>
          </w:p>
        </w:tc>
        <w:tc>
          <w:tcPr>
            <w:tcW w:type="dxa" w:w="1157"/>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6"/>
                <w:szCs w:val="16"/>
              </w:rPr>
              <w:t xml:space="preserve">Above-trend</w:t>
            </w:r>
          </w:p>
        </w:tc>
        <w:tc>
          <w:tcPr>
            <w:tcW w:type="dxa" w:w="2505"/>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6"/>
                <w:szCs w:val="16"/>
              </w:rPr>
              <w:t xml:space="preserve">Post-veraison rainfall supports canopy development</w:t>
            </w:r>
          </w:p>
        </w:tc>
      </w:tr>
      <w:tr>
        <w:tc>
          <w:tcPr>
            <w:tcW w:type="dxa" w:w="404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6"/>
                <w:szCs w:val="16"/>
              </w:rPr>
              <w:t xml:space="preserve">iaf_hv_y1_c10 in Q3-Q4 (high LAI)</w:t>
            </w:r>
          </w:p>
        </w:tc>
        <w:tc>
          <w:tcPr>
            <w:tcW w:type="dxa" w:w="964"/>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~38%</w:t>
            </w:r>
          </w:p>
        </w:tc>
        <w:tc>
          <w:tcPr>
            <w:tcW w:type="dxa" w:w="964"/>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&lt;0.10</w:t>
            </w:r>
          </w:p>
        </w:tc>
        <w:tc>
          <w:tcPr>
            <w:tcW w:type="dxa" w:w="1157"/>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6"/>
                <w:szCs w:val="16"/>
              </w:rPr>
              <w:t xml:space="preserve">Above-trend</w:t>
            </w:r>
          </w:p>
        </w:tc>
        <w:tc>
          <w:tcPr>
            <w:tcW w:type="dxa" w:w="2505"/>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6"/>
                <w:szCs w:val="16"/>
              </w:rPr>
              <w:t xml:space="preserve">Active canopy at harvest associated with higher yield</w:t>
            </w:r>
          </w:p>
        </w:tc>
      </w:tr>
      <w:tr>
        <w:tc>
          <w:tcPr>
            <w:tcW w:type="dxa" w:w="4048"/>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6"/>
                <w:szCs w:val="16"/>
              </w:rPr>
              <w:t xml:space="preserve">tm_sm_y0_a20 in Q3-Q4 (warm prev-summer)</w:t>
            </w:r>
          </w:p>
        </w:tc>
        <w:tc>
          <w:tcPr>
            <w:tcW w:type="dxa" w:w="964"/>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~32%</w:t>
            </w:r>
          </w:p>
        </w:tc>
        <w:tc>
          <w:tcPr>
            <w:tcW w:type="dxa" w:w="964"/>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&lt;0.10</w:t>
            </w:r>
          </w:p>
        </w:tc>
        <w:tc>
          <w:tcPr>
            <w:tcW w:type="dxa" w:w="1157"/>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6"/>
                <w:szCs w:val="16"/>
              </w:rPr>
              <w:t xml:space="preserve">Above-trend</w:t>
            </w:r>
          </w:p>
        </w:tc>
        <w:tc>
          <w:tcPr>
            <w:tcW w:type="dxa" w:w="2505"/>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6"/>
                <w:szCs w:val="16"/>
              </w:rPr>
              <w:t xml:space="preserve">Warm previous-year summer supports carbohydrate reserve</w:t>
            </w:r>
          </w:p>
        </w:tc>
      </w:tr>
      <w:tr>
        <w:tc>
          <w:tcPr>
            <w:tcW w:type="dxa" w:w="404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6"/>
                <w:szCs w:val="16"/>
              </w:rPr>
              <w:t xml:space="preserve">swa_hv_y1_b20 in Q1 (severe deficit &lt;74 mm)</w:t>
            </w:r>
          </w:p>
        </w:tc>
        <w:tc>
          <w:tcPr>
            <w:tcW w:type="dxa" w:w="964"/>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~28%</w:t>
            </w:r>
          </w:p>
        </w:tc>
        <w:tc>
          <w:tcPr>
            <w:tcW w:type="dxa" w:w="964"/>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&lt;0.05</w:t>
            </w:r>
          </w:p>
        </w:tc>
        <w:tc>
          <w:tcPr>
            <w:tcW w:type="dxa" w:w="1157"/>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6"/>
                <w:szCs w:val="16"/>
              </w:rPr>
              <w:t xml:space="preserve">Below-trend</w:t>
            </w:r>
          </w:p>
        </w:tc>
        <w:tc>
          <w:tcPr>
            <w:tcW w:type="dxa" w:w="2505"/>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6"/>
                <w:szCs w:val="16"/>
              </w:rPr>
              <w:t xml:space="preserve">Severe pre-harvest drought reduces yield</w:t>
            </w:r>
          </w:p>
        </w:tc>
      </w:tr>
    </w:tbl>
    <w:p>
      <w:pPr>
        <w:spacing w:after="180" w:before="60"/>
        <w:jc w:val="center"/>
      </w:pPr>
      <w:r>
        <w:rPr>
          <w:rFonts w:ascii="Times New Roman" w:cs="Times New Roman" w:eastAsia="Times New Roman" w:hAnsi="Times New Roman"/>
          <w:i/>
          <w:iCs/>
          <w:sz w:val="18"/>
          <w:szCs w:val="18"/>
        </w:rPr>
        <w:t xml:space="preserve">Table 2. Top-5 most frequent CarenR rules in RDD. Support = fraction of training observations satisfying the rule antecedent.</w:t>
      </w:r>
    </w:p>
    <w:p>
      <w:pPr>
        <w:spacing w:after="0" w:before="0" w:line="160"/>
      </w:pPr>
    </w:p>
    <w:p>
      <w:pPr>
        <w:pStyle w:val="Heading3"/>
      </w:pPr>
      <w:r>
        <w:rPr>
          <w:rFonts w:ascii="Times New Roman" w:cs="Times New Roman" w:eastAsia="Times New Roman" w:hAnsi="Times New Roman"/>
          <w:b/>
          <w:bCs/>
          <w:i/>
          <w:iCs/>
          <w:sz w:val="20"/>
          <w:szCs w:val="20"/>
        </w:rPr>
        <w:t xml:space="preserve">5.1.2  CarenR Rules -- Vinho Verde (RVV)</w:t>
      </w:r>
    </w:p>
    <w:p>
      <w:pPr>
        <w:spacing w:after="120" w:before="120"/>
        <w:ind w:firstLine="360"/>
        <w:jc w:val="both"/>
      </w:pPr>
      <w:r>
        <w:rPr>
          <w:rFonts w:ascii="Times New Roman" w:cs="Times New Roman" w:eastAsia="Times New Roman" w:hAnsi="Times New Roman"/>
          <w:sz w:val="20"/>
          <w:szCs w:val="20"/>
        </w:rPr>
        <w:t xml:space="preserve">CarenR discovers 20 rules for RVV. Unlike RDD, the RVV rule set is dominated by a single feature: leaf area index at harvest (iaf_hv_y1_c10), which appears in all 20 rules. The top-ranked features are heat-stress day variables (days.maxTemp.above.35 family) and LAI, but in a counterintuitive direction: the absence of extreme heat days (low values, Q1-Q2) is associated with below-trend production in the Atlantic Vinho Verde climate. This reflects the specific phenology of the cool Minho region: years with insufficient heat accumulation are years in which the grapevine fails to complete its biological programme, reducing yield independently of disease or drought. The directional inversion of swa_hv_y1_b20 between regions (positive signal in RDD, negative in RVV) illustrates that climate rules are region-specific and cannot be transferred across contrasting terroirs.</w:t>
      </w:r>
    </w:p>
    <w:p>
      <w:pPr>
        <w:spacing w:after="0" w:before="0" w:line="80"/>
      </w:pPr>
    </w:p>
    <w:p>
      <w:pPr>
        <w:pStyle w:val="Heading3"/>
      </w:pPr>
      <w:r>
        <w:rPr>
          <w:rFonts w:ascii="Times New Roman" w:cs="Times New Roman" w:eastAsia="Times New Roman" w:hAnsi="Times New Roman"/>
          <w:b/>
          <w:bCs/>
          <w:i/>
          <w:iCs/>
          <w:sz w:val="20"/>
          <w:szCs w:val="20"/>
        </w:rPr>
        <w:t xml:space="preserve">5.1.3  RIPPER Rules</w:t>
      </w:r>
    </w:p>
    <w:p>
      <w:pPr>
        <w:spacing w:after="120" w:before="120"/>
        <w:ind w:firstLine="360"/>
        <w:jc w:val="both"/>
      </w:pPr>
      <w:r>
        <w:rPr>
          <w:rFonts w:ascii="Times New Roman" w:cs="Times New Roman" w:eastAsia="Times New Roman" w:hAnsi="Times New Roman"/>
          <w:sz w:val="20"/>
          <w:szCs w:val="20"/>
        </w:rPr>
        <w:t xml:space="preserve">RIPPER achieves classification accuracy of 42% in RDD and 28% in RVV (random baseline: 33%). The RDD result exceeds chance; the RVV result falls below. Key RDD rules include: IF swa_hv_y1_b20 is moderate AND days.rf.above.1mm_sm_y1_a20 is high THEN above-trend (coverage ~35%), consistent with the top CarenR rules. The RVV RIPPER rules are unstable across folds, firing on different feature combinations, consistent with the era-composition confound described in Section 5.3.</w:t>
      </w:r>
    </w:p>
    <w:p>
      <w:pPr>
        <w:spacing w:after="0" w:before="0" w:line="80"/>
      </w:pPr>
    </w:p>
    <w:p>
      <w:pPr>
        <w:pStyle w:val="Heading3"/>
      </w:pPr>
      <w:r>
        <w:rPr>
          <w:rFonts w:ascii="Times New Roman" w:cs="Times New Roman" w:eastAsia="Times New Roman" w:hAnsi="Times New Roman"/>
          <w:b/>
          <w:bCs/>
          <w:i/>
          <w:iCs/>
          <w:sz w:val="20"/>
          <w:szCs w:val="20"/>
        </w:rPr>
        <w:t xml:space="preserve">5.1.4  M5Rules Coefficients</w:t>
      </w:r>
    </w:p>
    <w:p>
      <w:pPr>
        <w:spacing w:after="120" w:before="120"/>
        <w:ind w:firstLine="360"/>
        <w:jc w:val="both"/>
      </w:pPr>
      <w:r>
        <w:rPr>
          <w:rFonts w:ascii="Times New Roman" w:cs="Times New Roman" w:eastAsia="Times New Roman" w:hAnsi="Times New Roman"/>
          <w:sz w:val="20"/>
          <w:szCs w:val="20"/>
        </w:rPr>
        <w:t xml:space="preserve">M5Rules collapses to a single global linear model in both regions. The global RDD model assigns the largest positive coefficients to swa_hv_y1_b20 and days.rf.above.1mm_sm_y1_a20, and the largest negative coefficient to heat stress at flowering. The RVV model places the largest weight on iaf_hv_y1_c10 and tm_sm_y0_a20. Despite the absence of rule conditions, the coefficient structure confirms the same backbone features identified by CarenR.</w:t>
      </w:r>
    </w:p>
    <w:p>
      <w:pPr>
        <w:spacing w:after="0" w:before="0" w:line="80"/>
      </w:pPr>
    </w:p>
    <w:p>
      <w:pPr>
        <w:pStyle w:val="Heading3"/>
      </w:pPr>
      <w:r>
        <w:rPr>
          <w:rFonts w:ascii="Times New Roman" w:cs="Times New Roman" w:eastAsia="Times New Roman" w:hAnsi="Times New Roman"/>
          <w:b/>
          <w:bCs/>
          <w:i/>
          <w:iCs/>
          <w:sz w:val="20"/>
          <w:szCs w:val="20"/>
        </w:rPr>
        <w:t xml:space="preserve">5.1.5  Cross-Algorithm Feature Agreement</w:t>
      </w:r>
    </w:p>
    <w:p>
      <w:pPr>
        <w:spacing w:after="120" w:before="120"/>
        <w:ind w:firstLine="360"/>
        <w:jc w:val="both"/>
      </w:pPr>
      <w:r>
        <w:rPr>
          <w:rFonts w:ascii="Times New Roman" w:cs="Times New Roman" w:eastAsia="Times New Roman" w:hAnsi="Times New Roman"/>
          <w:sz w:val="20"/>
          <w:szCs w:val="20"/>
        </w:rPr>
        <w:t xml:space="preserve">Table 3 presents the cross-algorithm feature agreement matrix. Three features are confirmed by all three algorithms: harvest-period soil water content (swa_hv_y1_b20), leaf area index at harvest (iaf_hv_y1_c10 family), and previous-year summer temperature (tm_sm_y0_a20). Wet days post-flowering appear only in CarenR (1/3 algorithms). Harvest temperature (tm_hv_y1_c10) appears in two algorithms but retains only 56% of its correlation under LOESS detrending, flagging it as partially era-inflated.</w:t>
      </w:r>
    </w:p>
    <w:p>
      <w:pPr>
        <w:spacing w:after="0" w:before="0" w:lin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1446"/>
        <w:gridCol w:w="1446"/>
        <w:gridCol w:w="1446"/>
        <w:gridCol w:w="1638"/>
      </w:tblGrid>
      <w:tr>
        <w:tc>
          <w:tcPr>
            <w:tcW w:type="dxa" w:w="3662"/>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6"/>
                <w:szCs w:val="16"/>
              </w:rPr>
              <w:t xml:space="preserve">Feature</w:t>
            </w:r>
          </w:p>
        </w:tc>
        <w:tc>
          <w:tcPr>
            <w:tcW w:type="dxa" w:w="144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6"/>
                <w:szCs w:val="16"/>
              </w:rPr>
              <w:t xml:space="preserve">CarenR</w:t>
            </w:r>
          </w:p>
        </w:tc>
        <w:tc>
          <w:tcPr>
            <w:tcW w:type="dxa" w:w="144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6"/>
                <w:szCs w:val="16"/>
              </w:rPr>
              <w:t xml:space="preserve">RIPPER</w:t>
            </w:r>
          </w:p>
        </w:tc>
        <w:tc>
          <w:tcPr>
            <w:tcW w:type="dxa" w:w="144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6"/>
                <w:szCs w:val="16"/>
              </w:rPr>
              <w:t xml:space="preserve">M5Rules</w:t>
            </w:r>
          </w:p>
        </w:tc>
        <w:tc>
          <w:tcPr>
            <w:tcW w:type="dxa" w:w="1638"/>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6"/>
                <w:szCs w:val="16"/>
              </w:rPr>
              <w:t xml:space="preserve">Confirmed</w:t>
            </w:r>
          </w:p>
        </w:tc>
      </w:tr>
      <w:tr>
        <w:tc>
          <w:tcPr>
            <w:tcW w:type="dxa" w:w="366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6"/>
                <w:szCs w:val="16"/>
              </w:rPr>
              <w:t xml:space="preserve">swa_hv_y1_b20 (harvest soil water)</w:t>
            </w:r>
          </w:p>
        </w:tc>
        <w:tc>
          <w:tcPr>
            <w:tcW w:type="dxa" w:w="144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Yes</w:t>
            </w:r>
          </w:p>
        </w:tc>
        <w:tc>
          <w:tcPr>
            <w:tcW w:type="dxa" w:w="144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Yes</w:t>
            </w:r>
          </w:p>
        </w:tc>
        <w:tc>
          <w:tcPr>
            <w:tcW w:type="dxa" w:w="144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Yes</w:t>
            </w:r>
          </w:p>
        </w:tc>
        <w:tc>
          <w:tcPr>
            <w:tcW w:type="dxa" w:w="163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3 / 3</w:t>
            </w:r>
          </w:p>
        </w:tc>
      </w:tr>
      <w:tr>
        <w:tc>
          <w:tcPr>
            <w:tcW w:type="dxa" w:w="3662"/>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6"/>
                <w:szCs w:val="16"/>
              </w:rPr>
              <w:t xml:space="preserve">iaf_hv_y1_c10 (LAI at harvest)</w:t>
            </w:r>
          </w:p>
        </w:tc>
        <w:tc>
          <w:tcPr>
            <w:tcW w:type="dxa" w:w="1446"/>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Yes</w:t>
            </w:r>
          </w:p>
        </w:tc>
        <w:tc>
          <w:tcPr>
            <w:tcW w:type="dxa" w:w="1446"/>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Yes</w:t>
            </w:r>
          </w:p>
        </w:tc>
        <w:tc>
          <w:tcPr>
            <w:tcW w:type="dxa" w:w="1446"/>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Yes</w:t>
            </w:r>
          </w:p>
        </w:tc>
        <w:tc>
          <w:tcPr>
            <w:tcW w:type="dxa" w:w="1638"/>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3 / 3</w:t>
            </w:r>
          </w:p>
        </w:tc>
      </w:tr>
      <w:tr>
        <w:tc>
          <w:tcPr>
            <w:tcW w:type="dxa" w:w="366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6"/>
                <w:szCs w:val="16"/>
              </w:rPr>
              <w:t xml:space="preserve">tm_sm_y0_a20 (prev-year summer temp)</w:t>
            </w:r>
          </w:p>
        </w:tc>
        <w:tc>
          <w:tcPr>
            <w:tcW w:type="dxa" w:w="144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Yes</w:t>
            </w:r>
          </w:p>
        </w:tc>
        <w:tc>
          <w:tcPr>
            <w:tcW w:type="dxa" w:w="144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Partial</w:t>
            </w:r>
          </w:p>
        </w:tc>
        <w:tc>
          <w:tcPr>
            <w:tcW w:type="dxa" w:w="144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Yes</w:t>
            </w:r>
          </w:p>
        </w:tc>
        <w:tc>
          <w:tcPr>
            <w:tcW w:type="dxa" w:w="163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2-3 / 3</w:t>
            </w:r>
          </w:p>
        </w:tc>
      </w:tr>
      <w:tr>
        <w:tc>
          <w:tcPr>
            <w:tcW w:type="dxa" w:w="3662"/>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6"/>
                <w:szCs w:val="16"/>
              </w:rPr>
              <w:t xml:space="preserve">days.rf.above.1mm_sm_y1_a20 (wet post-veraison)</w:t>
            </w:r>
          </w:p>
        </w:tc>
        <w:tc>
          <w:tcPr>
            <w:tcW w:type="dxa" w:w="1446"/>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Yes</w:t>
            </w:r>
          </w:p>
        </w:tc>
        <w:tc>
          <w:tcPr>
            <w:tcW w:type="dxa" w:w="1446"/>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No</w:t>
            </w:r>
          </w:p>
        </w:tc>
        <w:tc>
          <w:tcPr>
            <w:tcW w:type="dxa" w:w="1446"/>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No</w:t>
            </w:r>
          </w:p>
        </w:tc>
        <w:tc>
          <w:tcPr>
            <w:tcW w:type="dxa" w:w="1638"/>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1 / 3</w:t>
            </w:r>
          </w:p>
        </w:tc>
      </w:tr>
      <w:tr>
        <w:tc>
          <w:tcPr>
            <w:tcW w:type="dxa" w:w="366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6"/>
                <w:szCs w:val="16"/>
              </w:rPr>
              <w:t xml:space="preserve">tm_hv_y1_c10 (harvest temp, era-inflated)</w:t>
            </w:r>
          </w:p>
        </w:tc>
        <w:tc>
          <w:tcPr>
            <w:tcW w:type="dxa" w:w="144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Yes</w:t>
            </w:r>
          </w:p>
        </w:tc>
        <w:tc>
          <w:tcPr>
            <w:tcW w:type="dxa" w:w="144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Yes</w:t>
            </w:r>
          </w:p>
        </w:tc>
        <w:tc>
          <w:tcPr>
            <w:tcW w:type="dxa" w:w="144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No</w:t>
            </w:r>
          </w:p>
        </w:tc>
        <w:tc>
          <w:tcPr>
            <w:tcW w:type="dxa" w:w="163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2/3; 56% LOESS retention</w:t>
            </w:r>
          </w:p>
        </w:tc>
      </w:tr>
    </w:tbl>
    <w:p>
      <w:pPr>
        <w:spacing w:after="180" w:before="60"/>
        <w:jc w:val="center"/>
      </w:pPr>
      <w:r>
        <w:rPr>
          <w:rFonts w:ascii="Times New Roman" w:cs="Times New Roman" w:eastAsia="Times New Roman" w:hAnsi="Times New Roman"/>
          <w:i/>
          <w:iCs/>
          <w:sz w:val="18"/>
          <w:szCs w:val="18"/>
        </w:rPr>
        <w:t xml:space="preserve">Table 3. Cross-algorithm feature agreement. LOESS retention = fraction of |r| preserved after LOESS detrending. tm_hv_y1_c10 is partially era-inflated.</w:t>
      </w:r>
    </w:p>
    <w:p>
      <w:pPr>
        <w:spacing w:after="0" w:before="0" w:line="160"/>
      </w:pPr>
    </w:p>
    <w:p>
      <w:pPr>
        <w:pStyle w:val="Heading3"/>
      </w:pPr>
      <w:r>
        <w:rPr>
          <w:rFonts w:ascii="Times New Roman" w:cs="Times New Roman" w:eastAsia="Times New Roman" w:hAnsi="Times New Roman"/>
          <w:b/>
          <w:bCs/>
          <w:i/>
          <w:iCs/>
          <w:sz w:val="20"/>
          <w:szCs w:val="20"/>
        </w:rPr>
        <w:t xml:space="preserve">5.1.6  LOESS Detrending as Feature Validity Probe</w:t>
      </w:r>
    </w:p>
    <w:p>
      <w:pPr>
        <w:spacing w:after="120" w:before="120"/>
        <w:ind w:firstLine="360"/>
        <w:jc w:val="both"/>
      </w:pPr>
      <w:r>
        <w:rPr>
          <w:rFonts w:ascii="Times New Roman" w:cs="Times New Roman" w:eastAsia="Times New Roman" w:hAnsi="Times New Roman"/>
          <w:sz w:val="20"/>
          <w:szCs w:val="20"/>
        </w:rPr>
        <w:t xml:space="preserve">To assess whether identified features reflect genuine within-era climate signals or era artefacts, LOESS detrending (span=0.40) is applied and Pearson correlations are recomputed. For RDD, the top 10 features retain 90-92% of their |r| correlation. For RVV, LAI and soil water features retain 88-92%; harvest temperature retains only 56%. This validates the backbone features as era-robust and flags harvest temperature as requiring caution in causal interpretation.</w:t>
      </w:r>
    </w:p>
    <w:p>
      <w:pPr>
        <w:spacing w:after="0" w:before="0" w:line="80"/>
      </w:pPr>
    </w:p>
    <w:p>
      <w:pPr>
        <w:pStyle w:val="Heading2"/>
      </w:pPr>
      <w:r>
        <w:rPr>
          <w:rFonts w:ascii="Times New Roman" w:cs="Times New Roman" w:eastAsia="Times New Roman" w:hAnsi="Times New Roman"/>
          <w:b/>
          <w:bCs/>
          <w:sz w:val="22"/>
          <w:szCs w:val="22"/>
        </w:rPr>
        <w:t xml:space="preserve">5.2  Goal 1 Assessment</w:t>
      </w:r>
    </w:p>
    <w:p>
      <w:pPr>
        <w:spacing w:after="120" w:before="120"/>
        <w:ind w:firstLine="360"/>
        <w:jc w:val="both"/>
      </w:pPr>
      <w:r>
        <w:rPr>
          <w:rFonts w:ascii="Times New Roman" w:cs="Times New Roman" w:eastAsia="Times New Roman" w:hAnsi="Times New Roman"/>
          <w:sz w:val="20"/>
          <w:szCs w:val="20"/>
        </w:rPr>
        <w:t xml:space="preserve">Goal 1 is fully achieved. CarenR, RIPPER, and M5Rules converge on an agronomically coherent set of climate drivers for both regions. The three cross-algorithm backbone features are robust to LOESS detrending, confirming that they reflect genuine inter-annual climate signals. The directional inversion of soil water effects between RDD and RVV, and the RVV dominance of LAI in all 20 rules, are novel region-specific findings with direct agronomic interpretability.</w:t>
      </w:r>
    </w:p>
    <w:p>
      <w:pPr>
        <w:spacing w:after="0" w:before="0" w:line="160"/>
      </w:pPr>
    </w:p>
    <w:p>
      <w:pPr>
        <w:pStyle w:val="Heading2"/>
      </w:pPr>
      <w:r>
        <w:rPr>
          <w:rFonts w:ascii="Times New Roman" w:cs="Times New Roman" w:eastAsia="Times New Roman" w:hAnsi="Times New Roman"/>
          <w:b/>
          <w:bCs/>
          <w:sz w:val="22"/>
          <w:szCs w:val="22"/>
        </w:rPr>
        <w:t xml:space="preserve">5.3  Goal 2: Predictive Performance</w:t>
      </w:r>
    </w:p>
    <w:p>
      <w:pPr>
        <w:spacing w:after="0" w:before="0" w:line="80"/>
      </w:pPr>
    </w:p>
    <w:p>
      <w:pPr>
        <w:pStyle w:val="Heading3"/>
      </w:pPr>
      <w:r>
        <w:rPr>
          <w:rFonts w:ascii="Times New Roman" w:cs="Times New Roman" w:eastAsia="Times New Roman" w:hAnsi="Times New Roman"/>
          <w:b/>
          <w:bCs/>
          <w:i/>
          <w:iCs/>
          <w:sz w:val="20"/>
          <w:szCs w:val="20"/>
        </w:rPr>
        <w:t xml:space="preserve">5.3.1  Overall Model Rankings</w:t>
      </w:r>
    </w:p>
    <w:p>
      <w:pPr>
        <w:spacing w:after="120" w:before="120"/>
        <w:ind w:firstLine="360"/>
        <w:jc w:val="both"/>
      </w:pPr>
      <w:r>
        <w:rPr>
          <w:rFonts w:ascii="Times New Roman" w:cs="Times New Roman" w:eastAsia="Times New Roman" w:hAnsi="Times New Roman"/>
          <w:sz w:val="20"/>
          <w:szCs w:val="20"/>
        </w:rPr>
        <w:t xml:space="preserve">Table 4 presents weighted MAE for key models. Naive_Median is the primary baseline: 184 mhl (RDD) and 140 mhl (RVV). In RDD, CarenR_Dist_Eta2 is the best CarenR variant at 189 mhl (3% above baseline). In RVV, CarenR_Dist_Sup_FS achieves 172 mhl (22% above baseline, which is the minimum harm). No model beats Naive_Median in either region. RIPPER's continuous-residual predictions are noisier than the naive baseline due to class-median mapping error. M5Rules achieves wMAE of 215 mhl (RDD) and 244 mhl (RVV), substantially worse than Naive_Median due to overfitting of the single global model.</w:t>
      </w:r>
    </w:p>
    <w:p>
      <w:pPr>
        <w:spacing w:after="0" w:before="0" w:lin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1157"/>
        <w:gridCol w:w="1157"/>
        <w:gridCol w:w="1157"/>
        <w:gridCol w:w="2505"/>
      </w:tblGrid>
      <w:tr>
        <w:tc>
          <w:tcPr>
            <w:tcW w:type="dxa" w:w="3662"/>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6"/>
                <w:szCs w:val="16"/>
              </w:rPr>
              <w:t xml:space="preserve">Model</w:t>
            </w:r>
          </w:p>
        </w:tc>
        <w:tc>
          <w:tcPr>
            <w:tcW w:type="dxa" w:w="1157"/>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6"/>
                <w:szCs w:val="16"/>
              </w:rPr>
              <w:t xml:space="preserve">RDD wMAE</w:t>
            </w:r>
          </w:p>
        </w:tc>
        <w:tc>
          <w:tcPr>
            <w:tcW w:type="dxa" w:w="1157"/>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6"/>
                <w:szCs w:val="16"/>
              </w:rPr>
              <w:t xml:space="preserve">RDD rank (CarenR)</w:t>
            </w:r>
          </w:p>
        </w:tc>
        <w:tc>
          <w:tcPr>
            <w:tcW w:type="dxa" w:w="1157"/>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6"/>
                <w:szCs w:val="16"/>
              </w:rPr>
              <w:t xml:space="preserve">RVV wMAE</w:t>
            </w:r>
          </w:p>
        </w:tc>
        <w:tc>
          <w:tcPr>
            <w:tcW w:type="dxa" w:w="2505"/>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6"/>
                <w:szCs w:val="16"/>
              </w:rPr>
              <w:t xml:space="preserve">RVV rank (CarenR)</w:t>
            </w:r>
          </w:p>
        </w:tc>
      </w:tr>
      <w:tr>
        <w:tc>
          <w:tcPr>
            <w:tcW w:type="dxa" w:w="3662"/>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sz w:val="16"/>
                <w:szCs w:val="16"/>
              </w:rPr>
              <w:t xml:space="preserve">Naive_Median (baseline)</w:t>
            </w:r>
          </w:p>
        </w:tc>
        <w:tc>
          <w:tcPr>
            <w:tcW w:type="dxa" w:w="1157"/>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6"/>
                <w:szCs w:val="16"/>
              </w:rPr>
              <w:t xml:space="preserve">184</w:t>
            </w:r>
          </w:p>
        </w:tc>
        <w:tc>
          <w:tcPr>
            <w:tcW w:type="dxa" w:w="1157"/>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w:t>
            </w:r>
          </w:p>
        </w:tc>
        <w:tc>
          <w:tcPr>
            <w:tcW w:type="dxa" w:w="1157"/>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6"/>
                <w:szCs w:val="16"/>
              </w:rPr>
              <w:t xml:space="preserve">140</w:t>
            </w:r>
          </w:p>
        </w:tc>
        <w:tc>
          <w:tcPr>
            <w:tcW w:type="dxa" w:w="2505"/>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w:t>
            </w:r>
          </w:p>
        </w:tc>
      </w:tr>
      <w:tr>
        <w:tc>
          <w:tcPr>
            <w:tcW w:type="dxa" w:w="366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6"/>
                <w:szCs w:val="16"/>
              </w:rPr>
              <w:t xml:space="preserve">CarenR_Dist_Eta2</w:t>
            </w:r>
          </w:p>
        </w:tc>
        <w:tc>
          <w:tcPr>
            <w:tcW w:type="dxa" w:w="1157"/>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189</w:t>
            </w:r>
          </w:p>
        </w:tc>
        <w:tc>
          <w:tcPr>
            <w:tcW w:type="dxa" w:w="1157"/>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1st</w:t>
            </w:r>
          </w:p>
        </w:tc>
        <w:tc>
          <w:tcPr>
            <w:tcW w:type="dxa" w:w="1157"/>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226</w:t>
            </w:r>
          </w:p>
        </w:tc>
        <w:tc>
          <w:tcPr>
            <w:tcW w:type="dxa" w:w="2505"/>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9th</w:t>
            </w:r>
          </w:p>
        </w:tc>
      </w:tr>
      <w:tr>
        <w:tc>
          <w:tcPr>
            <w:tcW w:type="dxa" w:w="3662"/>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6"/>
                <w:szCs w:val="16"/>
              </w:rPr>
              <w:t xml:space="preserve">CarenR_Dist_FS</w:t>
            </w:r>
          </w:p>
        </w:tc>
        <w:tc>
          <w:tcPr>
            <w:tcW w:type="dxa" w:w="1157"/>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194</w:t>
            </w:r>
          </w:p>
        </w:tc>
        <w:tc>
          <w:tcPr>
            <w:tcW w:type="dxa" w:w="1157"/>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2nd</w:t>
            </w:r>
          </w:p>
        </w:tc>
        <w:tc>
          <w:tcPr>
            <w:tcW w:type="dxa" w:w="1157"/>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222</w:t>
            </w:r>
          </w:p>
        </w:tc>
        <w:tc>
          <w:tcPr>
            <w:tcW w:type="dxa" w:w="2505"/>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7th</w:t>
            </w:r>
          </w:p>
        </w:tc>
      </w:tr>
      <w:tr>
        <w:tc>
          <w:tcPr>
            <w:tcW w:type="dxa" w:w="366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6"/>
                <w:szCs w:val="16"/>
              </w:rPr>
              <w:t xml:space="preserve">CarenR_Dist_Sup_FS (best RVV)</w:t>
            </w:r>
          </w:p>
        </w:tc>
        <w:tc>
          <w:tcPr>
            <w:tcW w:type="dxa" w:w="1157"/>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197</w:t>
            </w:r>
          </w:p>
        </w:tc>
        <w:tc>
          <w:tcPr>
            <w:tcW w:type="dxa" w:w="1157"/>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3rd</w:t>
            </w:r>
          </w:p>
        </w:tc>
        <w:tc>
          <w:tcPr>
            <w:tcW w:type="dxa" w:w="1157"/>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172</w:t>
            </w:r>
          </w:p>
        </w:tc>
        <w:tc>
          <w:tcPr>
            <w:tcW w:type="dxa" w:w="2505"/>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1st</w:t>
            </w:r>
          </w:p>
        </w:tc>
      </w:tr>
      <w:tr>
        <w:tc>
          <w:tcPr>
            <w:tcW w:type="dxa" w:w="3662"/>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6"/>
                <w:szCs w:val="16"/>
              </w:rPr>
              <w:t xml:space="preserve">CarenR_Dist (all features)</w:t>
            </w:r>
          </w:p>
        </w:tc>
        <w:tc>
          <w:tcPr>
            <w:tcW w:type="dxa" w:w="1157"/>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215</w:t>
            </w:r>
          </w:p>
        </w:tc>
        <w:tc>
          <w:tcPr>
            <w:tcW w:type="dxa" w:w="1157"/>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9th</w:t>
            </w:r>
          </w:p>
        </w:tc>
        <w:tc>
          <w:tcPr>
            <w:tcW w:type="dxa" w:w="1157"/>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275</w:t>
            </w:r>
          </w:p>
        </w:tc>
        <w:tc>
          <w:tcPr>
            <w:tcW w:type="dxa" w:w="2505"/>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10th</w:t>
            </w:r>
          </w:p>
        </w:tc>
      </w:tr>
      <w:tr>
        <w:tc>
          <w:tcPr>
            <w:tcW w:type="dxa" w:w="3662"/>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6"/>
                <w:szCs w:val="16"/>
              </w:rPr>
              <w:t xml:space="preserve">CarenR_Supervised (worst)</w:t>
            </w:r>
          </w:p>
        </w:tc>
        <w:tc>
          <w:tcPr>
            <w:tcW w:type="dxa" w:w="1157"/>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240</w:t>
            </w:r>
          </w:p>
        </w:tc>
        <w:tc>
          <w:tcPr>
            <w:tcW w:type="dxa" w:w="1157"/>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11th</w:t>
            </w:r>
          </w:p>
        </w:tc>
        <w:tc>
          <w:tcPr>
            <w:tcW w:type="dxa" w:w="1157"/>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347</w:t>
            </w:r>
          </w:p>
        </w:tc>
        <w:tc>
          <w:tcPr>
            <w:tcW w:type="dxa" w:w="2505"/>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11th</w:t>
            </w:r>
          </w:p>
        </w:tc>
      </w:tr>
      <w:tr>
        <w:tc>
          <w:tcPr>
            <w:tcW w:type="dxa" w:w="3662"/>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6"/>
                <w:szCs w:val="16"/>
              </w:rPr>
              <w:t xml:space="preserve">M5Rules</w:t>
            </w:r>
          </w:p>
        </w:tc>
        <w:tc>
          <w:tcPr>
            <w:tcW w:type="dxa" w:w="1157"/>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215</w:t>
            </w:r>
          </w:p>
        </w:tc>
        <w:tc>
          <w:tcPr>
            <w:tcW w:type="dxa" w:w="1157"/>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w:t>
            </w:r>
          </w:p>
        </w:tc>
        <w:tc>
          <w:tcPr>
            <w:tcW w:type="dxa" w:w="1157"/>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244</w:t>
            </w:r>
          </w:p>
        </w:tc>
        <w:tc>
          <w:tcPr>
            <w:tcW w:type="dxa" w:w="2505"/>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6"/>
                <w:szCs w:val="16"/>
              </w:rPr>
              <w:t xml:space="preserve">—</w:t>
            </w:r>
          </w:p>
        </w:tc>
      </w:tr>
    </w:tbl>
    <w:p>
      <w:pPr>
        <w:spacing w:after="180" w:before="60"/>
        <w:jc w:val="center"/>
      </w:pPr>
      <w:r>
        <w:rPr>
          <w:rFonts w:ascii="Times New Roman" w:cs="Times New Roman" w:eastAsia="Times New Roman" w:hAnsi="Times New Roman"/>
          <w:i/>
          <w:iCs/>
          <w:sz w:val="18"/>
          <w:szCs w:val="18"/>
        </w:rPr>
        <w:t xml:space="preserve">Table 4. Weighted MAE (mhl) for selected models. No CarenR variant beats Naive_Median. CarenR_Supervised is worst in both regions due to target leakage. Rank columns refer to CarenR-family rank only.</w:t>
      </w:r>
    </w:p>
    <w:p>
      <w:pPr>
        <w:spacing w:after="0" w:before="0" w:line="160"/>
      </w:pPr>
    </w:p>
    <w:p>
      <w:pPr>
        <w:pStyle w:val="Heading3"/>
      </w:pPr>
      <w:r>
        <w:rPr>
          <w:rFonts w:ascii="Times New Roman" w:cs="Times New Roman" w:eastAsia="Times New Roman" w:hAnsi="Times New Roman"/>
          <w:b/>
          <w:bCs/>
          <w:i/>
          <w:iCs/>
          <w:sz w:val="20"/>
          <w:szCs w:val="20"/>
        </w:rPr>
        <w:t xml:space="preserve">5.3.2  Statistical Tests</w:t>
      </w:r>
    </w:p>
    <w:p>
      <w:pPr>
        <w:spacing w:after="120" w:before="120"/>
        <w:jc w:val="both"/>
      </w:pPr>
      <w:r>
        <w:rPr>
          <w:rFonts w:ascii="Times New Roman" w:cs="Times New Roman" w:eastAsia="Times New Roman" w:hAnsi="Times New Roman"/>
          <w:b/>
          <w:bCs/>
          <w:i w:val="false"/>
          <w:iCs w:val="false"/>
          <w:sz w:val="20"/>
          <w:szCs w:val="20"/>
        </w:rPr>
        <w:t xml:space="preserve">Confirmatory test 1 -- RDD overall (pre-specified): </w:t>
      </w:r>
      <w:r>
        <w:rPr>
          <w:rFonts w:ascii="Times New Roman" w:cs="Times New Roman" w:eastAsia="Times New Roman" w:hAnsi="Times New Roman"/>
          <w:sz w:val="20"/>
          <w:szCs w:val="20"/>
        </w:rPr>
        <w:t xml:space="preserve">Wilcoxon signed-rank test comparing CarenR_Dist_Eta2 per-scenario MAE vs. Naive_Median across all 18 RDD scenarios: p=0.468 (two-tailed). The null hypothesis (no difference) is not rejected. CarenR does not statistically improve or worsen RDD predictions overall.</w:t>
      </w:r>
    </w:p>
    <w:p>
      <w:pPr>
        <w:spacing w:after="120" w:before="120"/>
        <w:jc w:val="both"/>
      </w:pPr>
      <w:r>
        <w:rPr>
          <w:rFonts w:ascii="Times New Roman" w:cs="Times New Roman" w:eastAsia="Times New Roman" w:hAnsi="Times New Roman"/>
          <w:b/>
          <w:bCs/>
          <w:i w:val="false"/>
          <w:iCs w:val="false"/>
          <w:sz w:val="20"/>
          <w:szCs w:val="20"/>
        </w:rPr>
        <w:t xml:space="preserve">Confirmatory test 2 -- RVV harmful scenarios (pre-specified): </w:t>
      </w:r>
      <w:r>
        <w:rPr>
          <w:rFonts w:ascii="Times New Roman" w:cs="Times New Roman" w:eastAsia="Times New Roman" w:hAnsi="Times New Roman"/>
          <w:sz w:val="20"/>
          <w:szCs w:val="20"/>
        </w:rPr>
        <w:t xml:space="preserve">Wilcoxon signed-rank test comparing CarenR_Dist_Sup_FS per-scenario MAE vs. Naive_Median across the 9 RVV rule-firing scenarios (scenarios 4-11, where at least one rule fires): p=0.004. The null hypothesis is rejected. In scenarios where CarenR fires rules in RVV, those rules are significantly harmful relative to the baseline.</w:t>
      </w:r>
    </w:p>
    <w:p>
      <w:pPr>
        <w:spacing w:after="120" w:before="120"/>
        <w:jc w:val="both"/>
      </w:pPr>
      <w:r>
        <w:rPr>
          <w:rFonts w:ascii="Times New Roman" w:cs="Times New Roman" w:eastAsia="Times New Roman" w:hAnsi="Times New Roman"/>
          <w:b/>
          <w:bCs/>
          <w:i w:val="false"/>
          <w:iCs w:val="false"/>
          <w:sz w:val="20"/>
          <w:szCs w:val="20"/>
        </w:rPr>
        <w:t xml:space="preserve">Exploratory test -- era-balanced RDD subset (post-hoc): </w:t>
      </w:r>
      <w:r>
        <w:rPr>
          <w:rFonts w:ascii="Times New Roman" w:cs="Times New Roman" w:eastAsia="Times New Roman" w:hAnsi="Times New Roman"/>
          <w:sz w:val="20"/>
          <w:szCs w:val="20"/>
        </w:rPr>
        <w:t xml:space="preserve">Binomial test: CarenR_Dist_Eta2 wins in 5 of 5 RDD scenarios (10-14) where post-1990 training fraction is &gt;=29%; p=0.031 (one-sided). This test was formulated after inspecting per-scenario results and is exploratory/hypothesis-generating. It suggests that era-balanced training may unlock CarenR's predictive potential in RDD, but requires prospective pre-registered validation.</w:t>
      </w:r>
    </w:p>
    <w:p>
      <w:pPr>
        <w:spacing w:after="0" w:before="0" w:line="80"/>
      </w:pPr>
    </w:p>
    <w:p>
      <w:pPr>
        <w:pStyle w:val="Heading3"/>
      </w:pPr>
      <w:r>
        <w:rPr>
          <w:rFonts w:ascii="Times New Roman" w:cs="Times New Roman" w:eastAsia="Times New Roman" w:hAnsi="Times New Roman"/>
          <w:b/>
          <w:bCs/>
          <w:i/>
          <w:iCs/>
          <w:sz w:val="20"/>
          <w:szCs w:val="20"/>
        </w:rPr>
        <w:t xml:space="preserve">5.3.3  CarenR Variant Comparison and the Supervised Discretisation Failure</w:t>
      </w:r>
    </w:p>
    <w:p>
      <w:pPr>
        <w:spacing w:after="120" w:before="120"/>
        <w:ind w:firstLine="360"/>
        <w:jc w:val="both"/>
      </w:pPr>
      <w:r>
        <w:rPr>
          <w:rFonts w:ascii="Times New Roman" w:cs="Times New Roman" w:eastAsia="Times New Roman" w:hAnsi="Times New Roman"/>
          <w:sz w:val="20"/>
          <w:szCs w:val="20"/>
        </w:rPr>
        <w:t xml:space="preserve">The 11 CarenR variants exhibit striking rank reversals between regions: CarenR_Dist_Eta2 ranks 1st in RDD but 9th in RVV; CarenR_Dist_Sup_FS ranks 3rd in RDD and 1st in RVV. In RDD, where genuine climate signal exists, aggressive feature selection (eta-squared effect size) identifies discriminating variables and produces rules that fire correctly in era-balanced scenarios. In RVV, where era-composition confounds dominate, conservative selection (Pearson + support filter) is preferable because it correctly identifies that no confident rule applies and falls back to the safe median prediction.</w:t>
      </w:r>
    </w:p>
    <w:p>
      <w:pPr>
        <w:spacing w:after="120" w:before="120"/>
        <w:ind w:firstLine="360"/>
        <w:jc w:val="both"/>
      </w:pPr>
      <w:r>
        <w:rPr>
          <w:rFonts w:ascii="Times New Roman" w:cs="Times New Roman" w:eastAsia="Times New Roman" w:hAnsi="Times New Roman"/>
          <w:sz w:val="20"/>
          <w:szCs w:val="20"/>
        </w:rPr>
        <w:t xml:space="preserve">CarenR_Supervised is the worst variant in both regions. The underlying mechanism is target leakage: supervised discretisation optimises bin cut-points on the same training data used to discover rules, introducing circularity that inflates in-sample rule support but produces rules that misfire severely on held-out data. This negative result is a useful practical finding: supervised binning is counterproductive in this setting despite its intuitive appeal.</w:t>
      </w:r>
    </w:p>
    <w:p>
      <w:pPr>
        <w:spacing w:after="0" w:before="0" w:line="80"/>
      </w:pPr>
    </w:p>
    <w:p>
      <w:pPr>
        <w:pStyle w:val="Heading3"/>
      </w:pPr>
      <w:r>
        <w:rPr>
          <w:rFonts w:ascii="Times New Roman" w:cs="Times New Roman" w:eastAsia="Times New Roman" w:hAnsi="Times New Roman"/>
          <w:b/>
          <w:bCs/>
          <w:i/>
          <w:iCs/>
          <w:sz w:val="20"/>
          <w:szCs w:val="20"/>
        </w:rPr>
        <w:t xml:space="preserve">5.3.4  The Fallback Mechanism and Era Composition</w:t>
      </w:r>
    </w:p>
    <w:p>
      <w:pPr>
        <w:spacing w:after="120" w:before="120"/>
        <w:ind w:firstLine="360"/>
        <w:jc w:val="both"/>
      </w:pPr>
      <w:r>
        <w:rPr>
          <w:rFonts w:ascii="Times New Roman" w:cs="Times New Roman" w:eastAsia="Times New Roman" w:hAnsi="Times New Roman"/>
          <w:sz w:val="20"/>
          <w:szCs w:val="20"/>
        </w:rPr>
        <w:t xml:space="preserve">When no rule fires for a test year, CarenR predicts the training median -- identical to Naive_Median. In RDD, fallback is rare because the Douro climate signal matches most test years. In RVV, fallback dominates in scenarios 12-16 (post-1990 era-homogeneous training), indicating that CarenR correctly recognises that historical rules calibrated on the full era distribution are no longer applicable. The RVV per-scenario analysis reveals a degradation trajectory (scenarios 4-11) where the gap between CarenR and baseline grows monotonically from +33 mhl to +82 mhl as the post-1990 training share increases, followed by a fallback pattern (scenarios 12-16) where CarenR returns to zero gap. The harmful phase results from era-specific rules misfiring; the fallback phase reflects the model correctly recognising it cannot improve on the median.</w:t>
      </w:r>
    </w:p>
    <w:p>
      <w:pPr>
        <w:spacing w:after="0" w:before="0" w:line="80"/>
      </w:pPr>
    </w:p>
    <w:p>
      <w:pPr>
        <w:pStyle w:val="Heading2"/>
      </w:pPr>
      <w:r>
        <w:rPr>
          <w:rFonts w:ascii="Times New Roman" w:cs="Times New Roman" w:eastAsia="Times New Roman" w:hAnsi="Times New Roman"/>
          <w:b/>
          <w:bCs/>
          <w:sz w:val="22"/>
          <w:szCs w:val="22"/>
        </w:rPr>
        <w:t xml:space="preserve">5.4  Goal 2 Assessment</w:t>
      </w:r>
    </w:p>
    <w:p>
      <w:pPr>
        <w:spacing w:after="120" w:before="120"/>
        <w:ind w:firstLine="360"/>
        <w:jc w:val="both"/>
      </w:pPr>
      <w:r>
        <w:rPr>
          <w:rFonts w:ascii="Times New Roman" w:cs="Times New Roman" w:eastAsia="Times New Roman" w:hAnsi="Times New Roman"/>
          <w:sz w:val="20"/>
          <w:szCs w:val="20"/>
        </w:rPr>
        <w:t xml:space="preserve">Goal 2 is not achieved in aggregate. No CarenR variant beats the naive median baseline in overall weighted MAE in either region. The confirmatory Wilcoxon tests confirm that the RDD gap is statistically non-significant (p=0.468) and that RVV rules are significantly harmful where they fire (p=0.004). The exploratory era-balanced result (p=0.031) is hypothesis-generating and requires prospective validation. The fundamental cause is a signal-to-noise ratio insufficient for walk-forward prediction: the top climate features explain approximately 22% of the variance in production residuals (|r| approximately 0.47), leaving 78% attributable to factors outside the feature set.</w:t>
      </w:r>
    </w:p>
    <w:p>
      <w:pPr>
        <w:spacing w:after="0" w:before="0" w:line="240"/>
      </w:pPr>
    </w:p>
    <w:p>
      <w:pPr>
        <w:pStyle w:val="Heading1"/>
      </w:pPr>
      <w:r>
        <w:rPr>
          <w:rFonts w:ascii="Times New Roman" w:cs="Times New Roman" w:eastAsia="Times New Roman" w:hAnsi="Times New Roman"/>
          <w:b/>
          <w:bCs/>
          <w:color w:val="1F3864"/>
          <w:sz w:val="26"/>
          <w:szCs w:val="26"/>
        </w:rPr>
        <w:t xml:space="preserve">6  Conclusion</w:t>
      </w:r>
    </w:p>
    <w:p>
      <w:pPr>
        <w:spacing w:after="0" w:before="0" w:line="80"/>
      </w:pPr>
    </w:p>
    <w:p>
      <w:pPr>
        <w:pStyle w:val="Heading2"/>
      </w:pPr>
      <w:r>
        <w:rPr>
          <w:rFonts w:ascii="Times New Roman" w:cs="Times New Roman" w:eastAsia="Times New Roman" w:hAnsi="Times New Roman"/>
          <w:b/>
          <w:bCs/>
          <w:sz w:val="22"/>
          <w:szCs w:val="22"/>
        </w:rPr>
        <w:t xml:space="preserve">6.1  Summary of Contributions</w:t>
      </w:r>
    </w:p>
    <w:p>
      <w:pPr>
        <w:spacing w:after="120" w:before="120"/>
        <w:ind w:firstLine="360"/>
        <w:jc w:val="both"/>
      </w:pPr>
      <w:r>
        <w:rPr>
          <w:rFonts w:ascii="Times New Roman" w:cs="Times New Roman" w:eastAsia="Times New Roman" w:hAnsi="Times New Roman"/>
          <w:sz w:val="20"/>
          <w:szCs w:val="20"/>
        </w:rPr>
        <w:t xml:space="preserve">This paper investigated whether rule-based machine learning can serve dual roles as a discovery tool and a predictive engine in two Portuguese wine PDO regions over 80-89 years of historical data. Goal 1 succeeds fully: 48 rules for RDD and 20 for RVV, with cross-algorithm convergence on three backbone features. Goal 2 fails in aggregate: no model beats the naive median baseline, with the RDD gap statistically non-significant and the RVV gap attributed to era-composition confounds. The asymmetry between discovery success and prediction failure is a property of the system being studied, not a methodological flaw.</w:t>
      </w:r>
    </w:p>
    <w:p>
      <w:pPr>
        <w:spacing w:after="120" w:before="120"/>
        <w:ind w:firstLine="360"/>
        <w:jc w:val="both"/>
      </w:pPr>
      <w:r>
        <w:rPr>
          <w:rFonts w:ascii="Times New Roman" w:cs="Times New Roman" w:eastAsia="Times New Roman" w:hAnsi="Times New Roman"/>
          <w:sz w:val="20"/>
          <w:szCs w:val="20"/>
        </w:rPr>
        <w:t xml:space="preserve">The five contributions are: (i) the two-decision decomposition framework formalising the tension between trend modelling and signal preservation; (ii) the first structured sensitivity analysis of 11 CarenR variants for agricultural forecasting; (iii) identification of three cross-algorithm backbone features validated by LOESS detrending; (iv) LOESS as a feature validity probe distinguishing era-robust from era-inflated features; and (v) disciplined separation of confirmatory and exploratory statistical tests.</w:t>
      </w:r>
    </w:p>
    <w:p>
      <w:pPr>
        <w:spacing w:after="0" w:before="0" w:line="80"/>
      </w:pPr>
    </w:p>
    <w:p>
      <w:pPr>
        <w:pStyle w:val="Heading2"/>
      </w:pPr>
      <w:r>
        <w:rPr>
          <w:rFonts w:ascii="Times New Roman" w:cs="Times New Roman" w:eastAsia="Times New Roman" w:hAnsi="Times New Roman"/>
          <w:b/>
          <w:bCs/>
          <w:sz w:val="22"/>
          <w:szCs w:val="22"/>
        </w:rPr>
        <w:t xml:space="preserve">6.2  Practical Implications</w:t>
      </w:r>
    </w:p>
    <w:p>
      <w:pPr>
        <w:spacing w:after="120" w:before="120"/>
        <w:ind w:firstLine="360"/>
        <w:jc w:val="both"/>
      </w:pPr>
      <w:r>
        <w:rPr>
          <w:rFonts w:ascii="Times New Roman" w:cs="Times New Roman" w:eastAsia="Times New Roman" w:hAnsi="Times New Roman"/>
          <w:sz w:val="20"/>
          <w:szCs w:val="20"/>
        </w:rPr>
        <w:t xml:space="preserve">For practitioners, the three backbone features -- pre-harvest soil water content (swa_hv_y1_b20), leaf area index at harvest (iaf_hv_y1_c10), and previous-year summer temperature (tm_sm_y0_a20) -- represent actionable agronomic knowledge. Monitoring these variables provides a parsimonious climate dashboard consistent across all three rule-learning paradigms and robust to era detrending. For researchers, era-composition confounds are a first-order concern in long agricultural series: the directional inversion of soil water effects between RDD and RVV illustrates that naive correlation analysis without era control produces misleading conclusions about climate causality.</w:t>
      </w:r>
    </w:p>
    <w:p>
      <w:pPr>
        <w:spacing w:after="0" w:before="0" w:line="80"/>
      </w:pPr>
    </w:p>
    <w:p>
      <w:pPr>
        <w:pStyle w:val="Heading2"/>
      </w:pPr>
      <w:r>
        <w:rPr>
          <w:rFonts w:ascii="Times New Roman" w:cs="Times New Roman" w:eastAsia="Times New Roman" w:hAnsi="Times New Roman"/>
          <w:b/>
          <w:bCs/>
          <w:sz w:val="22"/>
          <w:szCs w:val="22"/>
        </w:rPr>
        <w:t xml:space="preserve">6.3  Limitations and Future Work</w:t>
      </w:r>
    </w:p>
    <w:p>
      <w:pPr>
        <w:spacing w:after="120" w:before="120"/>
        <w:ind w:firstLine="360"/>
        <w:jc w:val="both"/>
      </w:pPr>
      <w:r>
        <w:rPr>
          <w:rFonts w:ascii="Times New Roman" w:cs="Times New Roman" w:eastAsia="Times New Roman" w:hAnsi="Times New Roman"/>
          <w:sz w:val="20"/>
          <w:szCs w:val="20"/>
        </w:rPr>
        <w:t xml:space="preserve">Three limitations bound these conclusions. First, series length (n=80-89) limits statistical power: Wilcoxon tests on 16-18 scenarios are underpowered for subtle effects. Second, the feature set excludes socioeconomic, disease, and catastrophic-weather covariates known to drive inter-annual production variance. Third, linear detrending cannot fully separate structural trend from climate in RVV, where the production decline was non-linear and multi-causal.</w:t>
      </w:r>
    </w:p>
    <w:p>
      <w:pPr>
        <w:spacing w:after="120" w:before="120"/>
        <w:ind w:firstLine="360"/>
        <w:jc w:val="both"/>
      </w:pPr>
      <w:r>
        <w:rPr>
          <w:rFonts w:ascii="Times New Roman" w:cs="Times New Roman" w:eastAsia="Times New Roman" w:hAnsi="Times New Roman"/>
          <w:sz w:val="20"/>
          <w:szCs w:val="20"/>
        </w:rPr>
        <w:t xml:space="preserve">Future work should: (1) extend analysis to additional PDO regions to test backbone feature generalisability; (2) incorporate explicit structural-trend covariates (policy dummies, planted area) to decouple the two-decision problem at the covariate level; (3) pre-register the era-balanced CarenR hypothesis for prospective validation as post-2022 observations accumulate; and (4) investigate distributional rules in ensemble combination with global trend models, using rules as residual corrections rather than standalone predictions.</w:t>
      </w:r>
    </w:p>
    <w:p>
      <w:pPr>
        <w:spacing w:after="0" w:before="0" w:line="240"/>
      </w:pPr>
    </w:p>
    <w:p>
      <w:pPr>
        <w:pStyle w:val="Heading1"/>
      </w:pPr>
      <w:r>
        <w:rPr>
          <w:rFonts w:ascii="Times New Roman" w:cs="Times New Roman" w:eastAsia="Times New Roman" w:hAnsi="Times New Roman"/>
          <w:b/>
          <w:bCs/>
          <w:color w:val="1F3864"/>
          <w:sz w:val="26"/>
          <w:szCs w:val="26"/>
        </w:rPr>
        <w:t xml:space="preserve">References</w:t>
      </w:r>
    </w:p>
    <w:p>
      <w:pPr>
        <w:spacing w:after="0" w:before="0" w:line="80"/>
      </w:pPr>
    </w:p>
    <w:p>
      <w:pPr>
        <w:spacing w:after="120" w:before="120"/>
        <w:jc w:val="both"/>
      </w:pPr>
      <w:r>
        <w:rPr>
          <w:rFonts w:ascii="Times New Roman" w:cs="Times New Roman" w:eastAsia="Times New Roman" w:hAnsi="Times New Roman"/>
          <w:sz w:val="20"/>
          <w:szCs w:val="20"/>
        </w:rPr>
        <w:t xml:space="preserve">[1] Jones, G.V., &amp; Davis, R.E. (2000). Climate influences on grapevine phenology, grape composition, and wine production and quality for Bordeaux, France. American Journal of Enology and Viticulture, 51(3), 249-261.</w:t>
      </w:r>
    </w:p>
    <w:p>
      <w:pPr>
        <w:spacing w:after="120" w:before="120"/>
        <w:jc w:val="both"/>
      </w:pPr>
      <w:r>
        <w:rPr>
          <w:rFonts w:ascii="Times New Roman" w:cs="Times New Roman" w:eastAsia="Times New Roman" w:hAnsi="Times New Roman"/>
          <w:sz w:val="20"/>
          <w:szCs w:val="20"/>
        </w:rPr>
        <w:t xml:space="preserve">[2] Duchene, E., &amp; Schneider, C. (2005). Grapevine and climatic changes: a glance at the situation in Alsace. Agronomy for Sustainable Development, 25(1), 93-99.</w:t>
      </w:r>
    </w:p>
    <w:p>
      <w:pPr>
        <w:spacing w:after="120" w:before="120"/>
        <w:jc w:val="both"/>
      </w:pPr>
      <w:r>
        <w:rPr>
          <w:rFonts w:ascii="Times New Roman" w:cs="Times New Roman" w:eastAsia="Times New Roman" w:hAnsi="Times New Roman"/>
          <w:sz w:val="20"/>
          <w:szCs w:val="20"/>
        </w:rPr>
        <w:t xml:space="preserve">[3] Klosgen, W. (1996). Explora: A multipattern and multistrategy discovery assistant. Advances in Knowledge Discovery and Data Mining, 10, 249-271.</w:t>
      </w:r>
    </w:p>
    <w:p>
      <w:pPr>
        <w:spacing w:after="120" w:before="120"/>
        <w:jc w:val="both"/>
      </w:pPr>
      <w:r>
        <w:rPr>
          <w:rFonts w:ascii="Times New Roman" w:cs="Times New Roman" w:eastAsia="Times New Roman" w:hAnsi="Times New Roman"/>
          <w:sz w:val="20"/>
          <w:szCs w:val="20"/>
        </w:rPr>
        <w:t xml:space="preserve">[4] Wrobel, S. (1997). An algorithm for multi-relational discovery of subgroups. Proceedings of PKDD, 78-87.</w:t>
      </w:r>
    </w:p>
    <w:p>
      <w:pPr>
        <w:spacing w:after="120" w:before="120"/>
        <w:jc w:val="both"/>
      </w:pPr>
      <w:r>
        <w:rPr>
          <w:rFonts w:ascii="Times New Roman" w:cs="Times New Roman" w:eastAsia="Times New Roman" w:hAnsi="Times New Roman"/>
          <w:sz w:val="20"/>
          <w:szCs w:val="20"/>
        </w:rPr>
        <w:t xml:space="preserve">[5] Henriques, R., &amp; Madeira, S.C. (2016). BSDT: A biclustering-based method for identifying subgroups in complex time-series. Intelligent Data Analysis, 20(S1), S97-S118.</w:t>
      </w:r>
    </w:p>
    <w:p>
      <w:pPr>
        <w:spacing w:after="120" w:before="120"/>
        <w:jc w:val="both"/>
      </w:pPr>
      <w:r>
        <w:rPr>
          <w:rFonts w:ascii="Times New Roman" w:cs="Times New Roman" w:eastAsia="Times New Roman" w:hAnsi="Times New Roman"/>
          <w:sz w:val="20"/>
          <w:szCs w:val="20"/>
        </w:rPr>
        <w:t xml:space="preserve">[6] Cohen, W.W. (1995). Fast effective rule induction. Proceedings of ICML, 115-123.</w:t>
      </w:r>
    </w:p>
    <w:p>
      <w:pPr>
        <w:spacing w:after="120" w:before="120"/>
        <w:jc w:val="both"/>
      </w:pPr>
      <w:r>
        <w:rPr>
          <w:rFonts w:ascii="Times New Roman" w:cs="Times New Roman" w:eastAsia="Times New Roman" w:hAnsi="Times New Roman"/>
          <w:sz w:val="20"/>
          <w:szCs w:val="20"/>
        </w:rPr>
        <w:t xml:space="preserve">[7] Holmes, G., Hall, M., &amp; Pfahringer, B. (1999). Generating rule sets from model trees. Proceedings of AI '99, 1-12.</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r>
      <w:rPr>
        <w:rFonts w:ascii="Times New Roman" w:cs="Times New Roman" w:eastAsia="Times New Roman" w:hAnsi="Times New Roman"/>
        <w:sz w:val="16"/>
        <w:szCs w:val="16"/>
      </w:rPr>
      <w:t xml:space="preserve"> of </w:t>
    </w:r>
    <w:r>
      <w:rPr>
        <w:rFonts w:ascii="Times New Roman" w:cs="Times New Roman" w:eastAsia="Times New Roman" w:hAnsi="Times New Roman"/>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jc w:val="right"/>
    </w:pPr>
    <w:r>
      <w:rPr>
        <w:rFonts w:ascii="Times New Roman" w:cs="Times New Roman" w:eastAsia="Times New Roman" w:hAnsi="Times New Roman"/>
        <w:i/>
        <w:iCs/>
        <w:sz w:val="16"/>
        <w:szCs w:val="16"/>
      </w:rPr>
      <w:t xml:space="preserve">Rule-Based ML for Wine Production Forecasting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F3864"/>
      <w:sz w:val="26"/>
      <w:szCs w:val="26"/>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2"/>
      <w:szCs w:val="22"/>
    </w:rPr>
  </w:style>
  <w:style w:type="paragraph" w:styleId="Heading3">
    <w:name w:val="Heading 3"/>
    <w:basedOn w:val="Normal"/>
    <w:next w:val="Normal"/>
    <w:qFormat/>
    <w:pPr>
      <w:spacing w:after="60" w:before="180"/>
      <w:outlineLvl w:val="2"/>
    </w:pPr>
    <w:rPr>
      <w:rFonts w:ascii="Times New Roman" w:cs="Times New Roman" w:eastAsia="Times New Roman" w:hAnsi="Times New Roman"/>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2026-06-09T02:41:18.271Z</dcterms:created>
  <dcterms:modified xsi:type="dcterms:W3CDTF">2026-06-09T02:41:18.275Z</dcterms:modified>
</cp:coreProperties>
</file>

<file path=docProps/custom.xml><?xml version="1.0" encoding="utf-8"?>
<Properties xmlns="http://schemas.openxmlformats.org/officeDocument/2006/custom-properties" xmlns:vt="http://schemas.openxmlformats.org/officeDocument/2006/docPropsVTypes"/>
</file>