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ind w:left="0" w:hanging="0"/>
        <w:rPr>
          <w:rFonts w:ascii="Helvetica" w:hAnsi="Helvetica" w:cs="Helvetica"/>
          <w:sz w:val="24"/>
          <w:szCs w:val="24"/>
        </w:rPr>
      </w:pPr>
      <w:r>
        <w:rPr>
          <w:rFonts w:ascii=".SFNS-Bold" w:hAnsi=".SFNS-Bold" w:cs=".SFNS-Bold"/>
          <w:sz w:val="48"/>
          <w:szCs w:val="48"/>
          <w:shd w:fill="FFFFFF"/>
          <w:color w:val="555555"/>
          <w:b/>
        </w:rPr>
        <w:t xml:space="preserve">Notes in ‘CLIMATE-INDUCED CYCLICAL PROPERTIES OF REGIONAL WINE   PRODUCTION USING A TIME-FREQUENCY APPROACH IN DOURO AND MINHO   WINE REGIONS    Cunha-Richer’</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ind w:left="0" w:hanging="0"/>
        <w:rPr>
          <w:rFonts w:ascii="Helvetica" w:hAnsi="Helvetica" w:cs="Helvetica"/>
          <w:sz w:val="24"/>
          <w:szCs w:val="24"/>
        </w:rPr>
      </w:pPr>
      <w:r>
        <w:rPr>
          <w:rFonts w:ascii="Helvetica-Bold" w:hAnsi="Helvetica-Bold" w:cs="Helvetica-Bold"/>
          <w:sz w:val="36"/>
          <w:szCs w:val="36"/>
          <w:shd w:fill="FFFFFF"/>
          <w:color w:val="000000"/>
          <w:b/>
        </w:rPr>
        <w:t xml:space="preserve">Notes in Document </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ind w:left="0" w:hanging="0"/>
        <w:rPr>
          <w:rFonts w:ascii="Helvetica" w:hAnsi="Helvetica" w:cs="Helvetica"/>
          <w:sz w:val="24"/>
          <w:szCs w:val="24"/>
        </w:rPr>
      </w:pPr>
      <w:r>
        <w:rPr>
          <w:rFonts w:ascii="Helvetica-Bold" w:hAnsi="Helvetica-Bold" w:cs="Helvetica-Bold"/>
          <w:sz w:val="36"/>
          <w:szCs w:val="36"/>
          <w:shd w:fill="FFFFFF"/>
          <w:color w:val="000000"/>
          <w:b/>
        </w:rPr>
        <w:t xml:space="preserve">'Cunha_Richter_CTV.pdf':</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CCCCCC"/>
          <w:color w:val="000000"/>
        </w:rPr>
        <w:t xml:space="preserve">Highlight </w:t>
      </w:r>
      <w:r>
        <w:rPr>
          <w:rFonts w:ascii="(null)" w:hAnsi="(null)" w:cs="(null)"/>
          <w:sz w:val="0"/>
          <w:szCs w:val="0"/>
          <w:shd w:fill="FFFFFF"/>
          <w:color w:val="000000"/>
        </w:rPr>
        <w:t xml:space="preserve"/>
        <w:drawing>
          <wp:inline distT="0" distB="0" distL="0" distR="0">
            <wp:extent cx="396230" cy="770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30" cy="77044"/>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CCCCCC"/>
          <w:color w:val="000000"/>
        </w:rPr>
        <w:t xml:space="preserve">Highlight </w:t>
      </w:r>
      <w:r>
        <w:rPr>
          <w:rFonts w:ascii="(null)" w:hAnsi="(null)" w:cs="(null)"/>
          <w:sz w:val="0"/>
          <w:szCs w:val="0"/>
          <w:shd w:fill="FFFFFF"/>
          <w:color w:val="000000"/>
        </w:rPr>
        <w:t xml:space="preserve"/>
        <w:drawing>
          <wp:inline distT="0" distB="0" distL="0" distR="0">
            <wp:extent cx="4242967" cy="1073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2967" cy="1073124"/>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In Portugal grapevines are one of the most important   perennial crops, growing in over 30 different   denominations of origin, which support a reputed   wine industry strongly linked to specific wine regions   (Moriondo et al., 2013; IVV, 2018)</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recent adoption of common   high-yielding grape varieties, uniform agronomic   practices (e.g. irrigation) based on few grape   varieties/clones with common timing of phenological   dates (e.g. flowering) have caused grape-yields to   become more strongly influenced by weather patterns   (Martins et al., 1998), especially under the foreseen   climate scenarios. </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Unpredictable temporal variability of WP is a major   threat for farmer and its associations, wine sellers,   insurances, researchers, natural resources managers   and policy makers among others (Quiroga and   Iglesias 2009; Cunha et al., 2010). Therefore, there is   a strong demand of adequate study of time series of   regional WP in order to improve the efficiency of   vineyard and winery operations as well as to support   commercial strategies and sectorial planning   measures (Cunha et al., 2016). </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many of the impact   assessments of the past, present and future climate   conditions on wine yield have been carried out based   on statistical models supported by long-term time   series of WP and climate (e.g. Gouveia et al., 2011;   Santos et al., 2011; Bock et al., 2013; Bonnefoy et   al., 2013; Cunha and Richter, 2016; Teslić et al.,  2019). However, there is still very little evidence how   sensitive is the temporal variability of WP to the   scenarios that combine technological progress and   actual or future climate variability.</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This is largely due   to the perennial nature of grapevine wherein cluster   structures present in one year begin their development   in the spring/summer of the previous year   (Vasconcelos et al., 2009).</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long-term analysis of WP   would have a key importance, at the light of the   recent global and regional climate change scenarios   (Jones, 2012; Santos et al., 2013), in order to plan   future mitigation actions for viticulture and wine   industry (Hannah et al., 2013; Mosedale et al., 2016).   </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Therefore, current-year   production being physiologically dependent on   conditions (ecological and agronomic) of the previous   year and short-term carryover effects of carbon and   water deficits could be expected (Guilpart et al.,  2014; Maxwell et al., 2016).</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In Portugal, as in many other worldwide wine   regions, despite unremitting improvements in   vineyard technology, wine-yield remains highly   dependent on the short and long-term climate, which   causes important variations in WP with several   adverse effects </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These carryover effects   (short-term) coupled with long-term (technological   and climate) effects on WP make difficult the   development of WP dynamics models and could   explain the scarcity of well stabilized and generalized   models to support wine industry.</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in the drier regions of the Mediterranean basin,   where the foreseen climate scenarios pointed for   substantial drying with precipitation reductions of   more than 25% and warming by 3-5 ºC by 2080</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B5FF"/>
          <w:color w:val="000000"/>
        </w:rPr>
        <w:t xml:space="preserve">Highlight </w:t>
      </w:r>
      <w:r>
        <w:rPr>
          <w:rFonts w:ascii="Helvetica" w:hAnsi="Helvetica" w:cs="Helvetica"/>
          <w:sz w:val="24"/>
          <w:szCs w:val="24"/>
          <w:shd w:fill="FFFFFF"/>
          <w:color w:val="000000"/>
        </w:rPr>
        <w:t xml:space="preserve">:</w:t>
        <w:tab/>
        <w:t xml:space="preserve">The WP time series are not   stationary and include transitory components,   consisting of a variety of frequency regimes that may   be localized in space or have short-lived transient </w:t>
      </w:r>
      <w:r>
        <w:rPr>
          <w:rFonts w:ascii=".SFNS-RegularItalic" w:hAnsi=".SFNS-RegularItalic" w:cs=".SFNS-RegularItalic"/>
          <w:sz w:val="20"/>
          <w:szCs w:val="20"/>
          <w:shd w:fill="FFFFFF"/>
          <w:color w:val="AAAAAA"/>
          <w:i/>
        </w:rPr>
        <w:t xml:space="preserve"/>
        <w:br/>
        <w:t xml:space="preserve">(Cunha_Richter_CTV.pdf, p.2)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B5FF"/>
          <w:color w:val="000000"/>
        </w:rPr>
        <w:t xml:space="preserve">Highlight </w:t>
      </w:r>
      <w:r>
        <w:rPr>
          <w:rFonts w:ascii="Helvetica" w:hAnsi="Helvetica" w:cs="Helvetica"/>
          <w:sz w:val="24"/>
          <w:szCs w:val="24"/>
          <w:shd w:fill="FFFFFF"/>
          <w:color w:val="000000"/>
        </w:rPr>
        <w:t xml:space="preserve">:</w:t>
        <w:tab/>
        <w:t xml:space="preserve">components and features at different scales (Cunha   and Richter, 2016). Stationarity means not only that a   series has a constant mean and constant and finite   variance, but also that the autocovariances are not   functions of time (Ye et al., 2015).</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Predictable   behaviour of such WP system like trends and   cyclicality proprieties, is therefore of great interest   but a challenging research line in order to develop   dynamic models.   </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null)" w:hAnsi="(null)" w:cs="(null)"/>
          <w:sz w:val="0"/>
          <w:szCs w:val="0"/>
          <w:shd w:fill="FFFFFF"/>
          <w:color w:val="000000"/>
        </w:rPr>
        <w:t xml:space="preserve"/>
        <w:drawing>
          <wp:inline distT="0" distB="0" distL="0" distR="0">
            <wp:extent cx="1904107" cy="206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4107" cy="2063700"/>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studies based on   autoregressive model (Cunha and Richter, 2012),   climate (Esteves and Orgaz, 2001; Fraga et al., 2014)   or measures of radial grape growth rings (Maxwell et   al., 2016), point towards identifiable induced-climate   cyclicality of WP</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This paper provides a long-term analysis of induced-  climate cyclicality of WP in Douro (1933-2013) and   Vinhos Verdes (1937-2016) wine regions.   Specifically, about eighty years of WP and climate   data from two wine regions in Portugal very different   in terms of ecological conditions, vineyards   techniques and technological trend, are examined to   see how there WP patterns are affected by climate.   Firstly, the frequency location of the variance in the   WP was performed in order to find the dominating   cycles.</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The second step, identifies the importance of   climate variability for the cyclical properties of WP,   and analyse the predictability of these events. A time-  frequency approach is applied, which not only gives   the cyclical properties of WP, but also how they   changed over time, may be due to climate variability.</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The VVR is located in the northwest part of Portugal   in an area traditionally known as Entre-Douro-e-  Minho, the most Atlantic wine region of Portugal.   Grapevines grown in VVR have unique   characteristics, namely, the form of guiding systems   with wide vegetative expansion and growth high   above the ground. </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 Kalman Filter is used to estimate the parameters   in the time domain which are then transferred into the   frequency domain</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The DR is located in northeast part of the country,   where vineyards are mainly built over terraces and   slopes with soils mostly derived from shale. Also,   mostly in the eastern part of this region, the vineyards   are located in some of the most arid, non-irrigated,   regions of Europe. </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This paper analysis the two main wine regions of   Portugal: ‘Vinhos Verdes’ appellation of Origin   (VVR) and the Douro Demarcated Region (DR)   (Figure 1). These regions represent at about 32% of   Portugal’ vineyard area and 37% of the wine   production (IVV, 2018).</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This region, famous for its Port   wine, is responsible for about one fourth (23%) of all   wine produced in Portugal (IVDP, 2018),</w:t>
      </w:r>
      <w:r>
        <w:rPr>
          <w:rFonts w:ascii=".SFNS-RegularItalic" w:hAnsi=".SFNS-RegularItalic" w:cs=".SFNS-RegularItalic"/>
          <w:sz w:val="20"/>
          <w:szCs w:val="20"/>
          <w:shd w:fill="FFFFFF"/>
          <w:color w:val="AAAAAA"/>
          <w:i/>
        </w:rPr>
        <w:t xml:space="preserve"/>
        <w:br/>
        <w:t xml:space="preserve">(Cunha_Richter_CTV.pdf, p.3)</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99F9"/>
          <w:color w:val="000000"/>
        </w:rPr>
        <w:t xml:space="preserve">Highlight </w:t>
      </w:r>
      <w:r>
        <w:rPr>
          <w:rFonts w:ascii="Helvetica" w:hAnsi="Helvetica" w:cs="Helvetica"/>
          <w:sz w:val="24"/>
          <w:szCs w:val="24"/>
          <w:shd w:fill="FFFFFF"/>
          <w:color w:val="000000"/>
        </w:rPr>
        <w:t xml:space="preserve">:</w:t>
        <w:tab/>
        <w:t xml:space="preserve">The average temperature for the year in VVR ranges   between 12.5 and 15.8 °C, and in DR is 11.8 and 16.5   ºC. The warmest month, on average, is August in both   regions with an average temperature of 20 ºC (VVR)   and 24.4 ºC (DR), and the coolest month on average   is January, with an average temperature of 8.8 °C   (VVR) and 8.0 ºC. The average amount of annual   precipitation varies from 1200 to 2000 mm in VVR   and 400 to 800 mm in DR, most of which occur in   autumn and winter</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According to Köppen’s classification, VVR belongs   to the climate type Csb, while the climate in DR is   Csa type (Figure 1). The Csb is characterized by mild   climate with dry and hot summers with average   temperatures below 22 °C, and has four months of the   year when temperatures do not fall below 10 °C. The   Csa is mild climate with dry and hot summers, with   average temperatures in the hottest month exceeding   22 °C.   </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 ST includes a period   of high intensity of growth and the reproductive phase   between flowering and fruit-set which are   physiological dependent of temperature, while the   SW period includes the vegetative phase between   veraison and harvest, characterized by strong   potential hydric stress. </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During the period April – October, the mean   temperature is about 17.1 ºC in VVR and 19.5 °C in   DR, and according to the climate maturity grouping   (Jones, 2007), the growing season can be defined as   ‘Intermediate’ and ‘Hot’, respectively.   </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B4FF"/>
          <w:color w:val="000000"/>
        </w:rPr>
        <w:t xml:space="preserve">Highlight </w:t>
      </w:r>
      <w:r>
        <w:rPr>
          <w:rFonts w:ascii="Helvetica" w:hAnsi="Helvetica" w:cs="Helvetica"/>
          <w:sz w:val="24"/>
          <w:szCs w:val="24"/>
          <w:shd w:fill="FFFFFF"/>
          <w:color w:val="000000"/>
        </w:rPr>
        <w:t xml:space="preserve">:</w:t>
        <w:tab/>
        <w:t xml:space="preserve">Daily weather data covering all the period analysed   were subject to quality control to examine outliers,   adjust missing data values, and check the temporal   homogeneity of the data, using the procedures   developed by Peterson et al. (1998) and applied by   Jones (2012) in DR. The R_Studio application   RHtestsV4 was used for the assessment of the quality   of the meteorological data:   http://etccdi.pacificclimate.org/software.shtml</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In the VVR, with a wetter post-flowering period,   diseases incidence generated production losses are   frequent. In the DR, being hotter and drier after   flowering, the problems associated with grape   diseases are less frequent (Cunha et al., 2003).</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99F9"/>
          <w:color w:val="000000"/>
        </w:rPr>
        <w:t xml:space="preserve">Highlight </w:t>
      </w:r>
      <w:r>
        <w:rPr>
          <w:rFonts w:ascii="Helvetica" w:hAnsi="Helvetica" w:cs="Helvetica"/>
          <w:sz w:val="24"/>
          <w:szCs w:val="24"/>
          <w:shd w:fill="FFFFFF"/>
          <w:color w:val="000000"/>
        </w:rPr>
        <w:t xml:space="preserve">:</w:t>
        <w:tab/>
        <w:t xml:space="preserve">The annual wine production data used in this work   was provided by: ‘Instituto dos Vinhos do Douro e   Porto’ (IVDP, 2018) for DR (1933-2013) and   ‘Comissão de Viticultura da Região dos Vinhos   Verdes’ (CVRVV, 2018) for VVR (1937-2016)</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Time-frequency analysis of the wine production   </w:t>
      </w:r>
      <w:r>
        <w:rPr>
          <w:rFonts w:ascii=".SFNS-RegularItalic" w:hAnsi=".SFNS-RegularItalic" w:cs=".SFNS-RegularItalic"/>
          <w:sz w:val="20"/>
          <w:szCs w:val="20"/>
          <w:shd w:fill="FFFFFF"/>
          <w:color w:val="AAAAAA"/>
          <w:i/>
        </w:rPr>
        <w:t xml:space="preserve"/>
        <w:br/>
        <w:t xml:space="preserve">(Cunha_Richter_CTV.pdf, p.5)</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B4FF"/>
          <w:color w:val="000000"/>
        </w:rPr>
        <w:t xml:space="preserve">Highlight </w:t>
      </w:r>
      <w:r>
        <w:rPr>
          <w:rFonts w:ascii="Helvetica" w:hAnsi="Helvetica" w:cs="Helvetica"/>
          <w:sz w:val="24"/>
          <w:szCs w:val="24"/>
          <w:shd w:fill="FFFFFF"/>
          <w:color w:val="000000"/>
        </w:rPr>
        <w:t xml:space="preserve">:</w:t>
        <w:tab/>
        <w:t xml:space="preserve">the time series of wine production in   the DR (1933-2013) and VVR (1937-2016). The   series are more likely to present different degrees of   temporal stationarity or non-stationary behaviour.   Also, for most of the sample this time series show a   lot of variation,</w:t>
      </w:r>
      <w:r>
        <w:rPr>
          <w:rFonts w:ascii=".SFNS-RegularItalic" w:hAnsi=".SFNS-RegularItalic" w:cs=".SFNS-RegularItalic"/>
          <w:sz w:val="20"/>
          <w:szCs w:val="20"/>
          <w:shd w:fill="FFFFFF"/>
          <w:color w:val="AAAAAA"/>
          <w:i/>
        </w:rPr>
        <w:t xml:space="preserve"/>
        <w:br/>
        <w:t xml:space="preserve">(Cunha_Richter_CTV.pdf, p.6)</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There is an evident up-ward (DR) and down-ward   (VVR) trend in wine production. The expected long-  term trend in the times series of WP with more than   79 years is mainly a reflection of the changes in   production area, vineyard practices and viticulture   decisions such as changes in grape varieties. As the </w:t>
      </w:r>
      <w:r>
        <w:rPr>
          <w:rFonts w:ascii=".SFNS-RegularItalic" w:hAnsi=".SFNS-RegularItalic" w:cs=".SFNS-RegularItalic"/>
          <w:sz w:val="20"/>
          <w:szCs w:val="20"/>
          <w:shd w:fill="FFFFFF"/>
          <w:color w:val="AAAAAA"/>
          <w:i/>
        </w:rPr>
        <w:t xml:space="preserve"/>
        <w:br/>
        <w:t xml:space="preserve">(Cunha_Richter_CTV.pdf, p.6)</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In both equations, only the 5th lag is significant at the   5% significance level. However, in between the lag   structure is different as the 4th and 6th lag is included   but not the 1st. The developed time-varying   autoregressive model explains 67% and 95% of the   WP variability, respectively, in DR (Table I) and VVR   (Table 2).  </w:t>
      </w:r>
      <w:r>
        <w:rPr>
          <w:rFonts w:ascii=".SFNS-RegularItalic" w:hAnsi=".SFNS-RegularItalic" w:cs=".SFNS-RegularItalic"/>
          <w:sz w:val="20"/>
          <w:szCs w:val="20"/>
          <w:shd w:fill="FFFFFF"/>
          <w:color w:val="AAAAAA"/>
          <w:i/>
        </w:rPr>
        <w:t xml:space="preserve"/>
        <w:br/>
        <w:t xml:space="preserve">(Cunha_Richter_CTV.pdf, p.7)</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B4FF"/>
          <w:color w:val="000000"/>
        </w:rPr>
        <w:t xml:space="preserve">Highlight </w:t>
      </w:r>
      <w:r>
        <w:rPr>
          <w:rFonts w:ascii="Helvetica" w:hAnsi="Helvetica" w:cs="Helvetica"/>
          <w:sz w:val="24"/>
          <w:szCs w:val="24"/>
          <w:shd w:fill="FFFFFF"/>
          <w:color w:val="000000"/>
        </w:rPr>
        <w:t xml:space="preserve">:</w:t>
        <w:tab/>
        <w:t xml:space="preserve">The time-varying spectrum presented in Figure 3,   which is based on the autoregressive model   presented on Table I for DR, shows the dynamic   characteristics of the WP. Over the entire   frequency band, there are three distinctive peaks at   frequencies 0.1, 1.1 and 2.5.   </w:t>
      </w:r>
      <w:r>
        <w:rPr>
          <w:rFonts w:ascii=".SFNS-RegularItalic" w:hAnsi=".SFNS-RegularItalic" w:cs=".SFNS-RegularItalic"/>
          <w:sz w:val="20"/>
          <w:szCs w:val="20"/>
          <w:shd w:fill="FFFFFF"/>
          <w:color w:val="AAAAAA"/>
          <w:i/>
        </w:rPr>
        <w:t xml:space="preserve"/>
        <w:br/>
        <w:t xml:space="preserve">(Cunha_Richter_CTV.pdf, p.7)</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Hence, currently WP is characterised by a long run   trend (frequency 0.1) and two shorter cycles of 5.7   years (frequency 1.1) and 2.5 years (frequency 2.5).   This means that the time span from one peak in WP to   another is close to 6 and 2.5 years, respectively. </w:t>
      </w:r>
      <w:r>
        <w:rPr>
          <w:rFonts w:ascii=".SFNS-RegularItalic" w:hAnsi=".SFNS-RegularItalic" w:cs=".SFNS-RegularItalic"/>
          <w:sz w:val="20"/>
          <w:szCs w:val="20"/>
          <w:shd w:fill="FFFFFF"/>
          <w:color w:val="AAAAAA"/>
          <w:i/>
        </w:rPr>
        <w:t xml:space="preserve"/>
        <w:br/>
        <w:t xml:space="preserve">(Cunha_Richter_CTV.pdf, p.8)</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Previously, Cunha and Richter   (2012) developed a time-varying parameter model for   the DR vs WP based on the ST for the period 1966 to   2007. It is worth noting that although the regression   results are very similar to those of Cunha and Richter   (2012) for the DR’ WP for the period 1966 to 2007,   the availability of new data (1933 to 2013) meant that   the second important cycle is now 5.7 years instead of   4.7 years. T</w:t>
      </w:r>
      <w:r>
        <w:rPr>
          <w:rFonts w:ascii=".SFNS-RegularItalic" w:hAnsi=".SFNS-RegularItalic" w:cs=".SFNS-RegularItalic"/>
          <w:sz w:val="20"/>
          <w:szCs w:val="20"/>
          <w:shd w:fill="FFFFFF"/>
          <w:color w:val="AAAAAA"/>
          <w:i/>
        </w:rPr>
        <w:t xml:space="preserve"/>
        <w:br/>
        <w:t xml:space="preserve">(Cunha_Richter_CTV.pdf, p.8)</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That is, the new data shifted the second   cycle by one year approaching it to the 4.7-year cycle   found in the VVR for the period (1937-2016). </w:t>
      </w:r>
      <w:r>
        <w:rPr>
          <w:rFonts w:ascii=".SFNS-RegularItalic" w:hAnsi=".SFNS-RegularItalic" w:cs=".SFNS-RegularItalic"/>
          <w:sz w:val="20"/>
          <w:szCs w:val="20"/>
          <w:shd w:fill="FFFFFF"/>
          <w:color w:val="AAAAAA"/>
          <w:i/>
        </w:rPr>
        <w:t xml:space="preserve"/>
        <w:br/>
        <w:t xml:space="preserve">(Cunha_Richter_CTV.pdf, p.8)</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(ST3) have significant impact on the WP. In   opposition to the current ST, an increase in the   previous STs has a negative impact on WP. Also, the   first and the 5th lag of WP are both significant at the   5% significance level.   </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As can be seen from Figure 4 the VVR power   spectrum is towards the end of the sample   characterised by three dominant frequencies: the long   run trend, the frequency of 1.3 and 2.6, which   corresponds to the 4.8 and 2.4 year cycles,   </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these two WP cycles around 5-6 years and 2.5 years   detected in both regions are also consistent with other   previous studies for VVR (Fraga et al., 2014) and   Dão (Esteves and Orgaz, 2001) Portuguese wine   regions.   </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In summary, the WP spectrum in both regions are   characterised by a long run trend coupled with two   shorter cycles. The great influence of the long run   trend in DR and VVR confirms the results presented   in Figure 2. </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 regression of WP with ST for VVR</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In terms of shorter cycles, it is remarkable that both   regions exhibit only two more dominant cycles. The   medium cycle is one year apart from each other   whilst the short-term cycle is close to one year apart   from each other</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Comment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 ST impact and lag ST</w:t>
        <w:br/>
        <w:t xml:space="preserve">Lag WP also important </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As for the DR, the relationship between WP and ST   in VVR is also time dynamic. At the end of the   sample, WP depends on the first and second lag of   WP but also on the ST in the current year as well as   the ST of two (ST2) and six (ST6) previous years (all   at 5% significance level).   </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In comparison to the autoregressive model (Table I),   the regression with ST presents similar values for   Radj-square (0.65). However, this model with the ST   is preferable to the autoregressive one for the lower   AIC value (317 in comparison to 539), which of   course does not mean that it is the “best” possible   model, as the AIC does not reflects the absolute   quality of a model. The WP in DR can be modelled   using ST. At the end of the sample the current ST as   well as the ST of previous two (ST2) and three years</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It can see from Figure 5 that WP in DR is determined   by ST through three main cycles. Although other   cycles matter as well, the most important ones are   assessed: the longer cycle at a frequency of 1.3 (5.8 </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In both regions, the current-year impact of ST is   positive, that is, an increase in current year ST will   lead to a rise in WP of this year, while previous ST   have a negative impact on WP. The biggest negative   impact on WP has the ST of previous three years in   DR and two years in VVR. </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years), the medium term cycle at frequency 1.5 (4.2   years) and the short term cycle at frequency 2.9 (2.2   years), which has been happening since the 80s. Since   2003, the link for the long run cycle has decreased   from over 60% to just over 50%. The medium cycle   remained largely constant at 40%, whilst the short   term cycle decreased from 50% to 40% as well. This   means that medium cycles have the same impact on   WP than short term fluctuation.</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 positive effect of   current-year ST on WP is in line with the previous   study for DR (Gouveia et al., 2011; Cunha and   Richter, 2012; Santos et al., 2013; Cunha et al., 2016)   and, VVR (Fraga et al., 2014), Spain (Lorenzo et al.,  2013), Germany (Bock et al., 2013) and EUA (Lobell  et al., 2007).   </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 positive impact of the ST on the WP could be   related with more favourable conditions for   physiological processes linked with grape yield that   occur in Spring such as anthesis and fruit-set, which   are favoured by warm and dry conditions (Cunha et   al., 2003; May, 2004; Vasconcelos et al., 2009;   Guilpart et al., 2014). </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Moreover, high spring   temperature leads to anticipation of the phenological   stages with great impact on avoiding soil water stress   and, consequently on wine production (e.g. Reis et   al., 2018). Therefore, this shortening of the vegetative   cycle could results in less vegetative vigour and less   accumulation of carbon in the plant’s permanent   structure (Mosedale et al., 2016). Thus, consecutive   years of high ST may affect the production of the   following years through the carryover effects of low   carbon fixed and allocated to growth,</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In summary, in DR   there is a stable but not constant link between the   production and the ST. The temperature is still   important for explaining about 60% the long term and   short term behaviour of wine production, but its   importance has decreased (</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Figure 6 shows that the two pre-dominant cycles in   VVR are at a frequency of 1.3 and 2.5, which   correspond to 4.8 and 2.5 years cycle</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 longer cycle is just in between the 4.2   and 5.8 years cycles of the DR with the highest   coherence. The shorter cycle is not far off the 2.2   years of the DR.</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DR. Hence,   SW is clearly more important to WP than ST when it   comes to predicting WP in DR. However, ST is also   important for WP as pointed out above.   </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cycles. Whilst for the DR the 7   years cycle is most important, for the VVR it is the   1.5 years cycle. In both cases, the main cycles are   very distinct </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The effects of SW in WP depend on the time (Table   I). The immediate effect on current-year WP of an   increase in SW is negative, whilst the SW that is in   the ground, that is from the previous two and three   years, have a positive effect on WP. </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WP is a dynamic   process. It depends on the 3rd lag of the WP and the   same year SW. As shown above, the SW has a   negative impact on the current year WP. In contrast to   DR, the impact of SW from the previous years does   not have a significant effect on WP in the VVR.</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Figure 7 shows that the coherence between WP and   SW in DR is quite stable and centred around a   frequency of 0.9 or 7 years as well as a short one   cycle of 2.4 years which has been happening since the   1990s. However, it is evident that SW can explain 7   year cycles by 60% in recent years (since the late   1990s). In previous years this link was in between   40%- 50%. So, there is evidence that the impact of   SW on WP increased over time.</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time. With regards to the   2.4 years cycle, this is even more evident: before the   late 90s, SW could only explain an average 12% of   the 2.4 year cycle. This has increased to 30%.</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Wine production   depends more on SW than on ST. The SW has a   negative impact on the WP of the current year in both   regions, while the SW in the previous two or three   years has a significant positive impact on WP in DR </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I). The negative effect of SW on the WP of the   current year is in line with the findings of other   authors for different regions (Jones and Davis, 2000;   Bock et al., 2013; Lorenzo et al., 2013; Fraga et al.,  2014). In DR and VVR, as in many other hot and   predominantly non-irrigated regions, a high level of   SW is associated with a high vegetative vigour of the   plants, conditions prone to increase the risk of   infection and severity of fungal diseases (e.g. botrytis,   downy mildew) and, consequently, potential harvest   damages (Valdés-Gómez et al., 2011). </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Figure 8 shows the coherence between SW and WP   for the VVR. For the entire sample there are three   distinctive frequencies visible: the long-run trend, the   frequency of 1.2 (or 5.2 years), and the frequency of   2.2 (or 1.5 years). Both, the long-run trend as well as   the 5.2 years cycles have a coherence of around 80%. </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In DR, where it </w:t>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prevails non-irrigated vineyards, the SW of the   previous two and three years have a positive effect on   WP, suggesting that the precipitation during the rainy   period (mainly autumn and winter) is not always   enough to fill up the soil water reserve. </w:t>
      </w:r>
      <w:r>
        <w:rPr>
          <w:rFonts w:ascii=".SFNS-RegularItalic" w:hAnsi=".SFNS-RegularItalic" w:cs=".SFNS-RegularItalic"/>
          <w:sz w:val="20"/>
          <w:szCs w:val="20"/>
          <w:shd w:fill="FFFFFF"/>
          <w:color w:val="AAAAAA"/>
          <w:i/>
        </w:rPr>
        <w:t xml:space="preserve"/>
        <w:br/>
        <w:t xml:space="preserve">(Cunha_Richter_CTV.pdf, p.12)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reserve. Contrarily, in   VVR the rain that occurs during the autumn and   winter periods are generally enough to refill the SW,   avoiding carryover effects of water deficits (SW5 not   significant) that affects the WP in subsequent years as   explained on the regression model </w:t>
      </w:r>
      <w:r>
        <w:rPr>
          <w:rFonts w:ascii=".SFNS-RegularItalic" w:hAnsi=".SFNS-RegularItalic" w:cs=".SFNS-RegularItalic"/>
          <w:sz w:val="20"/>
          <w:szCs w:val="20"/>
          <w:shd w:fill="FFFFFF"/>
          <w:color w:val="AAAAAA"/>
          <w:i/>
        </w:rPr>
        <w:t xml:space="preserve"/>
        <w:br/>
        <w:t xml:space="preserve">(Cunha_Richter_CTV.pdf, p.12)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The cyclical proprieties of wine production in DR and   VVR are modelled using a time-frequency approach   based on Kalm filter regressions for a long term   period close to 80 years in both regions. The short   time Fourier transform was used to decompose the   link between WP and ST and SW. It is shown how   many WP cycles in each region, and what cycle in   particular, are explained by the ST and SW.</w:t>
      </w:r>
      <w:r>
        <w:rPr>
          <w:rFonts w:ascii=".SFNS-RegularItalic" w:hAnsi=".SFNS-RegularItalic" w:cs=".SFNS-RegularItalic"/>
          <w:sz w:val="20"/>
          <w:szCs w:val="20"/>
          <w:shd w:fill="FFFFFF"/>
          <w:color w:val="AAAAAA"/>
          <w:i/>
        </w:rPr>
        <w:t xml:space="preserve"/>
        <w:br/>
        <w:t xml:space="preserve">(Cunha_Richter_CTV.pdf, p.12)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99FFD4"/>
          <w:color w:val="000000"/>
        </w:rPr>
        <w:t xml:space="preserve">Highlight </w:t>
      </w:r>
      <w:r>
        <w:rPr>
          <w:rFonts w:ascii="Helvetica" w:hAnsi="Helvetica" w:cs="Helvetica"/>
          <w:sz w:val="24"/>
          <w:szCs w:val="24"/>
          <w:shd w:fill="FFFFFF"/>
          <w:color w:val="000000"/>
        </w:rPr>
        <w:t xml:space="preserve">:</w:t>
        <w:tab/>
        <w:t xml:space="preserve">This   statistical approach have been successfully applied in   a wide variety of disciplines, such as the analyses the   impact of climate dynamics on wine yield (Cunha and   Richter, 2012, 2016) </w:t>
      </w:r>
      <w:r>
        <w:rPr>
          <w:rFonts w:ascii=".SFNS-RegularItalic" w:hAnsi=".SFNS-RegularItalic" w:cs=".SFNS-RegularItalic"/>
          <w:sz w:val="20"/>
          <w:szCs w:val="20"/>
          <w:shd w:fill="FFFFFF"/>
          <w:color w:val="AAAAAA"/>
          <w:i/>
        </w:rPr>
        <w:t xml:space="preserve"/>
        <w:br/>
        <w:t xml:space="preserve">(Cunha_Richter_CTV.pdf, p.12)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C199"/>
          <w:color w:val="000000"/>
        </w:rPr>
        <w:t xml:space="preserve">Highlight </w:t>
      </w:r>
      <w:r>
        <w:rPr>
          <w:rFonts w:ascii="Helvetica" w:hAnsi="Helvetica" w:cs="Helvetica"/>
          <w:sz w:val="24"/>
          <w:szCs w:val="24"/>
          <w:shd w:fill="FFFFFF"/>
          <w:color w:val="000000"/>
        </w:rPr>
        <w:t xml:space="preserve">:</w:t>
        <w:tab/>
        <w:t xml:space="preserve">In summary, the ST and SW showed great capacity to   explain the cyclicality of WP in the studied regions.   The coherence between these two variables and the   WP is temporarily much more stable in VVR than in   the DR. </w:t>
      </w:r>
      <w:r>
        <w:rPr>
          <w:rFonts w:ascii=".SFNS-RegularItalic" w:hAnsi=".SFNS-RegularItalic" w:cs=".SFNS-RegularItalic"/>
          <w:sz w:val="20"/>
          <w:szCs w:val="20"/>
          <w:shd w:fill="FFFFFF"/>
          <w:color w:val="AAAAAA"/>
          <w:i/>
        </w:rPr>
        <w:t xml:space="preserve"/>
        <w:br/>
        <w:t xml:space="preserve">(Cunha_Richter_CTV.pdf, p.12)</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ind w:left="0" w:hanging="0"/>
        <w:rPr>
          <w:rFonts w:ascii="Helvetica" w:hAnsi="Helvetica" w:cs="Helvetica"/>
          <w:sz w:val="24"/>
          <w:szCs w:val="24"/>
        </w:rPr>
      </w:pPr>
      <w:r>
        <w:rPr>
          <w:rFonts w:ascii="Helvetica-Bold" w:hAnsi="Helvetica-Bold" w:cs="Helvetica-Bold"/>
          <w:sz w:val="36"/>
          <w:szCs w:val="36"/>
          <w:shd w:fill="FFFFFF"/>
          <w:color w:val="000000"/>
          <w:b/>
        </w:rPr>
        <w:t xml:space="preserve">Notes in Workspace:</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r>
        <w:rPr>
          <w:rFonts w:ascii="Helvetica" w:hAnsi="Helvetica" w:cs="Helvetica"/>
          <w:sz w:val="26"/>
          <w:szCs w:val="26"/>
          <w:shd w:fill="FFFFFF"/>
          <w:color w:val="000000"/>
        </w:rPr>
        <w:t xml:space="preserve">Object Group</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Daily weather data covering all the period analysed   were subject to quality control to examine outliers,   adjust missing data values, and check the temporal   homogeneity of the data, using the procedures   developed by Peterson et al. (1998) and applied by   Jones (2012) in DR. The R_Studio application   RHtestsV4 was used for the assessment of the quality   of the meteorological data:   http://etccdi.pacificclimate.org/software.shtml</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EA99"/>
          <w:color w:val="000000"/>
        </w:rPr>
        <w:t xml:space="preserve">Comment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 Verificar no paper</w:t>
        <w:br/>
        <w:t xml:space="preserve"/>
      </w:r>
      <w:r>
        <w:rPr>
          <w:rFonts w:ascii=".SFNS-RegularItalic" w:hAnsi=".SFNS-RegularItalic" w:cs=".SFNS-RegularItalic"/>
          <w:sz w:val="20"/>
          <w:szCs w:val="20"/>
          <w:shd w:fill="FFFFFF"/>
          <w:color w:val="AAAAAA"/>
          <w:i/>
        </w:rPr>
        <w:t xml:space="preserve"/>
        <w:br/>
        <w:t xml:space="preserve">(Refers to a comment )</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These periods were selected because they are related   to WP variability as mentioned in a previous paper by   Cunha and Richter (2016).</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r>
      <w:hyperlink r:id="rId22">
        <w:r>
          <w:rPr>
            <w:rFonts w:ascii="HelveticaNeue" w:hAnsi="HelveticaNeue" w:cs="HelveticaNeue"/>
            <w:sz w:val="22"/>
            <w:szCs w:val="22"/>
            <w:shd w:fill="FFFFFF"/>
            <w:color w:val="0000FF"/>
            <w:rStyle w:val="Hyperlink"/>
          </w:rPr>
          <w:t xml:space="preserve">feup tese</w:t>
        </w:r>
      </w:hyperlink>
      <w:r>
        <w:rPr>
          <w:rFonts w:ascii="HelveticaNeue" w:hAnsi="HelveticaNeue" w:cs="HelveticaNeue"/>
          <w:sz w:val="22"/>
          <w:szCs w:val="22"/>
          <w:shd w:fill="FFFFFF"/>
          <w:color w:val="3A3319"/>
        </w:rPr>
        <w:t xml:space="preserve"> </w:t>
      </w:r>
      <w:r>
        <w:rPr>
          <w:rFonts w:ascii=".SFNS-RegularItalic" w:hAnsi=".SFNS-RegularItalic" w:cs=".SFNS-RegularItalic"/>
          <w:sz w:val="20"/>
          <w:szCs w:val="20"/>
          <w:shd w:fill="FFFFFF"/>
          <w:color w:val="AAAAAA"/>
          <w:i/>
        </w:rPr>
        <w:t xml:space="preserve"/>
        <w:br/>
        <w:t xml:space="preserve">()</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drawing>
          <wp:inline distT="0" distB="0" distL="0" distR="0">
            <wp:extent cx="2919821" cy="402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9821" cy="402931"/>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p.5)</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FFFF"/>
          <w:color w:val="000000"/>
        </w:rPr>
        <w:t xml:space="preserve">Comment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 Possível metodologia para estimar água no solo</w:t>
      </w:r>
      <w:r>
        <w:rPr>
          <w:rFonts w:ascii=".SFNS-RegularItalic" w:hAnsi=".SFNS-RegularItalic" w:cs=".SFNS-RegularItalic"/>
          <w:sz w:val="20"/>
          <w:szCs w:val="20"/>
          <w:shd w:fill="FFFFFF"/>
          <w:color w:val="AAAAAA"/>
          <w:i/>
        </w:rPr>
        <w:t xml:space="preserve"/>
        <w:br/>
        <w:t xml:space="preserve">(Cunha_Richter_CTV.pdf, p.4)</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200" w:hanging="1200"/>
        <w:rPr>
          <w:rFonts w:ascii="Helvetica" w:hAnsi="Helvetica" w:cs="Helvetica"/>
          <w:sz w:val="24"/>
          <w:szCs w:val="24"/>
        </w:rPr>
      </w:pPr>
      <w:r>
        <w:rPr>
          <w:rFonts w:ascii="Helvetica" w:hAnsi="Helvetica" w:cs="Helvetica"/>
          <w:sz w:val="24"/>
          <w:szCs w:val="24"/>
          <w:shd w:fill="FF9E99"/>
          <w:color w:val="000000"/>
        </w:rPr>
        <w:t xml:space="preserve">Excerpt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The focus of this paper is to analyze the spectral   properties of WP. Like in Cunha and Richter (2014),   the spectrum is calculated from equation 1. To do   that, Fast Fourier Transform is used. As the   regression coefficients vary over time so do the   derived spectra. Technical details can be found in   Cunha and Richter (2012)</w:t>
      </w:r>
      <w:r>
        <w:rPr>
          <w:rFonts w:ascii="(null)" w:hAnsi="(null)" w:cs="(null)"/>
          <w:sz w:val="0"/>
          <w:szCs w:val="0"/>
          <w:shd w:fill="FFFFFF"/>
          <w:color w:val="000000"/>
        </w:rPr>
        <w:t xml:space="preserve"/>
        <w:drawing>
          <wp:inline distT="0" distB="0" distL="0" distR="0">
            <wp:extent cx="2334277" cy="2279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4277" cy="2279190"/>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p.5)</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r>
        <w:rPr>
          <w:rFonts w:ascii="Helvetica" w:hAnsi="Helvetica" w:cs="Helvetica"/>
          <w:sz w:val="26"/>
          <w:szCs w:val="26"/>
          <w:shd w:fill="FFFFFF"/>
          <w:color w:val="000000"/>
        </w:rPr>
        <w:t xml:space="preserve">Object Group</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drawing>
          <wp:inline distT="0" distB="0" distL="0" distR="0">
            <wp:extent cx="5021600" cy="4116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600" cy="4116544"/>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p.7)</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The time-varying spectrum presented in Figure 3,   which is based on the autoregressive model   presented on Table I for DR, shows the dynamic   characteristics of the WP. Over the entire   frequency band, there are three distinctive peaks at   frequencies 0.1, 1.1 and 2.5.   </w:t>
      </w:r>
      <w:r>
        <w:rPr>
          <w:rFonts w:ascii=".SFNS-RegularItalic" w:hAnsi=".SFNS-RegularItalic" w:cs=".SFNS-RegularItalic"/>
          <w:sz w:val="20"/>
          <w:szCs w:val="20"/>
          <w:shd w:fill="FFFFFF"/>
          <w:color w:val="AAAAAA"/>
          <w:i/>
        </w:rPr>
        <w:t xml:space="preserve"/>
        <w:br/>
        <w:t xml:space="preserve">(Cunha_Richter_CTV.pdf, p.7)</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The relationship between period (P, years) and   frequency () is P=2*/. For example, a   frequency of 0.1 basically represents the long run   trend, which can be seen in the upper left hand   corner of the Figure 3. </w:t>
      </w:r>
      <w:r>
        <w:rPr>
          <w:rFonts w:ascii=".SFNS-RegularItalic" w:hAnsi=".SFNS-RegularItalic" w:cs=".SFNS-RegularItalic"/>
          <w:sz w:val="20"/>
          <w:szCs w:val="20"/>
          <w:shd w:fill="FFFFFF"/>
          <w:color w:val="AAAAAA"/>
          <w:i/>
        </w:rPr>
        <w:t xml:space="preserve"/>
        <w:br/>
        <w:t xml:space="preserve">(Cunha_Richter_CTV.pdf, p.7)</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drawing>
          <wp:inline distT="0" distB="0" distL="0" distR="0">
            <wp:extent cx="2800085" cy="26566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085" cy="2656622"/>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p.7)</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r>
        <w:rPr>
          <w:rFonts w:ascii="Helvetica" w:hAnsi="Helvetica" w:cs="Helvetica"/>
          <w:sz w:val="26"/>
          <w:szCs w:val="26"/>
          <w:shd w:fill="FFFFFF"/>
          <w:color w:val="000000"/>
        </w:rPr>
        <w:t xml:space="preserve">Object Group</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drawing>
          <wp:inline distT="0" distB="0" distL="0" distR="0">
            <wp:extent cx="4854812" cy="4356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4812" cy="4356115"/>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p.8)</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drawing>
          <wp:inline distT="0" distB="0" distL="0" distR="0">
            <wp:extent cx="4417462" cy="48488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7462" cy="4848892"/>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p.8)</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As can be seen from Figure 4 the VVR power   spectrum is towards the end of the sample   characterised by three dominant frequencies: the long   run trend, the frequency of 1.3 and 2.6, which   corresponds to the 4.8 and 2.4 year cycles, </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r>
        <w:rPr>
          <w:rFonts w:ascii="Helvetica" w:hAnsi="Helvetica" w:cs="Helvetica"/>
          <w:sz w:val="26"/>
          <w:szCs w:val="26"/>
          <w:shd w:fill="FFFFFF"/>
          <w:color w:val="000000"/>
        </w:rPr>
        <w:t xml:space="preserve">Object Group</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9E99"/>
          <w:color w:val="000000"/>
        </w:rPr>
        <w:t xml:space="preserve">Excerpt</w:t>
      </w:r>
      <w:r>
        <w:rPr>
          <w:rFonts w:ascii="(null)" w:hAnsi="(null)" w:cs="(null)"/>
          <w:sz w:val="0"/>
          <w:szCs w:val="0"/>
          <w:shd w:fill="FFFFFF"/>
          <w:color w:val="000000"/>
        </w:rPr>
        <w:t xml:space="preserve">:</w:t>
        <w:tab/>
        <w:t xml:space="preserve"/>
      </w:r>
      <w:r>
        <w:rPr>
          <w:rFonts w:ascii="Helvetica" w:hAnsi="Helvetica" w:cs="Helvetica"/>
          <w:sz w:val="24"/>
          <w:szCs w:val="24"/>
          <w:shd w:fill="FFFFFF"/>
          <w:color w:val="000000"/>
        </w:rPr>
        <w:t xml:space="preserve">Effect of Spring temperature on wine production  </w:t>
        <w:br/>
        <w:t xml:space="preserve"/>
      </w:r>
      <w:r>
        <w:rPr>
          <w:rFonts w:ascii=".SFNS-RegularItalic" w:hAnsi=".SFNS-RegularItalic" w:cs=".SFNS-RegularItalic"/>
          <w:sz w:val="20"/>
          <w:szCs w:val="20"/>
          <w:shd w:fill="FFFFFF"/>
          <w:color w:val="AAAAAA"/>
          <w:i/>
        </w:rPr>
        <w:t xml:space="preserve"/>
        <w:br/>
        <w:t xml:space="preserve">()</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drawing>
          <wp:inline distT="0" distB="0" distL="0" distR="0">
            <wp:extent cx="2913661" cy="2779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3661" cy="2779028"/>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r>
      <w:r>
        <w:rPr>
          <w:rFonts w:ascii="HelveticaNeue" w:hAnsi="HelveticaNeue" w:cs="HelveticaNeue"/>
          <w:sz w:val="22"/>
          <w:szCs w:val="22"/>
          <w:shd w:fill="FFFFFF"/>
          <w:color w:val="3A3319"/>
        </w:rPr>
        <w:t xml:space="preserve">In comparison to the autoregressive model (Table I),   the regression with ST presents similar values for   Radj-square (0.65). However, this model with the ST   is preferable to the autoregressive one for the lower   AIC value (317 in comparison to 539), which of   course does not mean that it is the “best” possible   model, as the AIC does not reflects the absolute   quality of a model. The WP in DR can be modelled   using ST</w:t>
      </w:r>
      <w:r>
        <w:rPr>
          <w:rFonts w:ascii=".SFNS-RegularItalic" w:hAnsi=".SFNS-RegularItalic" w:cs=".SFNS-RegularItalic"/>
          <w:sz w:val="20"/>
          <w:szCs w:val="20"/>
          <w:shd w:fill="FFFFFF"/>
          <w:color w:val="AAAAAA"/>
          <w:i/>
        </w:rPr>
        <w:t xml:space="preserve"/>
        <w:br/>
        <w:t xml:space="preserve">(Cunha_Richter_CTV.pdf, p.9)</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drawing>
          <wp:inline distT="0" distB="0" distL="0" distR="0">
            <wp:extent cx="4135334" cy="249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5334" cy="2491105"/>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p.11)</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FFFF"/>
          <w:color w:val="000000"/>
        </w:rPr>
        <w:t xml:space="preserve">Excerpt</w:t>
      </w:r>
      <w:r>
        <w:rPr>
          <w:rFonts w:ascii="(null)" w:hAnsi="(null)" w:cs="(null)"/>
          <w:sz w:val="0"/>
          <w:szCs w:val="0"/>
          <w:shd w:fill="FFFFFF"/>
          <w:color w:val="000000"/>
        </w:rPr>
        <w:t xml:space="preserve">:</w:t>
        <w:tab/>
        <w:t xml:space="preserve"/>
        <w:drawing>
          <wp:inline distT="0" distB="0" distL="0" distR="0">
            <wp:extent cx="3125856" cy="2565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5856" cy="2565792"/>
                    </a:xfrm>
                    <a:prstGeom prst="rect">
                      <a:avLst/>
                    </a:prstGeom>
                    <a:noFill/>
                    <a:ln>
                      <a:noFill/>
                    </a:ln>
                  </pic:spPr>
                </pic:pic>
              </a:graphicData>
            </a:graphic>
          </wp:inline>
        </w:drawing>
        <w:t xml:space="preserve"/>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1700" w:hanging="1200"/>
        <w:rPr>
          <w:rFonts w:ascii="Helvetica" w:hAnsi="Helvetica" w:cs="Helvetica"/>
          <w:sz w:val="24"/>
          <w:szCs w:val="24"/>
        </w:rPr>
      </w:pPr>
      <w:r>
        <w:rPr>
          <w:rFonts w:ascii="Helvetica" w:hAnsi="Helvetica" w:cs="Helvetica"/>
          <w:sz w:val="24"/>
          <w:szCs w:val="24"/>
          <w:shd w:fill="FF9E99"/>
          <w:color w:val="000000"/>
        </w:rPr>
        <w:t xml:space="preserve">Excerpt</w:t>
      </w:r>
      <w:r>
        <w:rPr>
          <w:rFonts w:ascii="(null)" w:hAnsi="(null)" w:cs="(null)"/>
          <w:sz w:val="0"/>
          <w:szCs w:val="0"/>
          <w:shd w:fill="FFFFFF"/>
          <w:color w:val="000000"/>
        </w:rPr>
        <w:t xml:space="preserve">:</w:t>
        <w:tab/>
        <w:t xml:space="preserve"/>
      </w:r>
      <w:r>
        <w:rPr>
          <w:rFonts w:ascii="HelveticaNeue" w:hAnsi="HelveticaNeue" w:cs="HelveticaNeue"/>
          <w:sz w:val="36"/>
          <w:szCs w:val="36"/>
          <w:shd w:fill="FFFFFF"/>
          <w:color w:val="3A3319"/>
        </w:rPr>
        <w:t xml:space="preserve">Effect of soil water in summer on wine production  </w:t>
      </w:r>
      <w:r>
        <w:rPr>
          <w:rFonts w:ascii=".SFNS-RegularItalic" w:hAnsi=".SFNS-RegularItalic" w:cs=".SFNS-RegularItalic"/>
          <w:sz w:val="20"/>
          <w:szCs w:val="20"/>
          <w:shd w:fill="FFFFFF"/>
          <w:color w:val="AAAAAA"/>
          <w:i/>
        </w:rPr>
        <w:t xml:space="preserve"/>
        <w:br/>
        <w:t xml:space="preserve">(Cunha_Richter_CTV.pdf, p.10)</w:t>
      </w:r>
    </w:p>
    <w:p w:rsidR="00000000" w:rsidRDefault="009D712F">
      <w:pPr>
        <w:widowControl w:val="0"/>
        <w:tabs>
          <w:tab w:val="left" w:pos="560"/>
          <w:tab w:val="left" w:pos="120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ind w:left="0" w:hanging="0"/>
        <w:rPr>
          <w:rFonts w:ascii="Helvetica" w:hAnsi="Helvetica" w:cs="Helvetica"/>
          <w:sz w:val="24"/>
          <w:szCs w:val="24"/>
        </w:rPr>
      </w:pPr>
    </w:p>
    <w:sectPr w:rsidR="009D712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FUIDisplay-Semibold">
    <w:panose1 w:val="00000000000000000000"/>
    <w:charset w:val="00"/>
    <w:family w:val="auto"/>
    <w:notTrueType/>
    <w:pitch w:val="default"/>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FUIText-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B28"/>
    <w:rsid w:val="009D712F"/>
    <w:rsid w:val="00D14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9D1608EA-A2BC-4DC2-81C6-206F80A63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5D97"/>
    <w:rPr>
      <w:color w:val="0563C1" w:themeColor="hyperlink"/>
      <w:u w:val="single"/>
    </w:rPr>
  </w:style>
  <w:style w:type="character" w:styleId="UnresolvedMention">
    <w:name w:val="Unresolved Mention"/>
    <w:basedOn w:val="DefaultParagraphFont"/>
    <w:uiPriority w:val="99"/>
    <w:rsid w:val="00745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14" Type="http://schemas.openxmlformats.org/officeDocument/2006/relationships/image" Target="media/image14.jpeg"/><Relationship Id="rId16" Type="http://schemas.openxmlformats.org/officeDocument/2006/relationships/image" Target="media/image16.jpeg"/><Relationship Id="rId18" Type="http://schemas.openxmlformats.org/officeDocument/2006/relationships/image" Target="media/image18.jpeg"/><Relationship Id="rId19" Type="http://schemas.openxmlformats.org/officeDocument/2006/relationships/image" Target="media/image19.jpeg"/><Relationship Id="rId20" Type="http://schemas.openxmlformats.org/officeDocument/2006/relationships/image" Target="media/image20.jpeg"/><Relationship Id="rId21" Type="http://schemas.openxmlformats.org/officeDocument/2006/relationships/image" Target="media/image21.jpeg"/><Relationship Id="rId10" Type="http://schemas.openxmlformats.org/officeDocument/2006/relationships/image" Target="media/image10.jpeg"/><Relationship Id="rId11" Type="http://schemas.openxmlformats.org/officeDocument/2006/relationships/image" Target="media/image11.jpeg"/><Relationship Id="rId13" Type="http://schemas.openxmlformats.org/officeDocument/2006/relationships/image" Target="media/image13.jpeg"/><Relationship Id="rId12" Type="http://schemas.openxmlformats.org/officeDocument/2006/relationships/image" Target="media/image12.jpeg"/><Relationship Id="rId17" Type="http://schemas.openxmlformats.org/officeDocument/2006/relationships/image" Target="media/image17.jpeg"/><Relationship Id="rId15" Type="http://schemas.openxmlformats.org/officeDocument/2006/relationships/image" Target="media/image15.jpeg"/><Relationship Id="rId22" Type="http://schemas.openxmlformats.org/officeDocument/2006/relationships/hyperlink" Target="lt://open/sXX2jlwm1UOaOMrEqjD-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dc:creator>
  <cp:keywords/>
  <dc:description/>
  <cp:lastModifiedBy>Craig</cp:lastModifiedBy>
  <cp:revision>2</cp:revision>
  <dcterms:created xsi:type="dcterms:W3CDTF">2015-11-26T02:25:00Z</dcterms:created>
  <dcterms:modified xsi:type="dcterms:W3CDTF">2015-11-26T02:25:00Z</dcterms:modified>
</cp:coreProperties>
</file>