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2. Literature Review</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chapter reviews the foundations of the thesis across three domains: the agroclimatic drivers of wine production in Portuguese wine regions; quantitative approaches to yield prediction, from classical regression to modern machine learning; and the data mining methods (subgroup discovery and distribution rules) that underpin the CarenR framework used in this study. The chapter closes by situating this thesis relative to existing work.</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2.1 Regional Wine Production in Portugal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Portugal is home to several wine regions with distinct climatic identities. This thesis focuses on two: the Douro Demarcated Region (RDD) and the Vinho Verde Region (RVV). Together they represented approximately 32% of Portugal's total vineyard area and 37% of national wine production in 2018 (Cunha and Richter, 2020). Despite their geographical proximity in northern Portugal, the two regions have markedly different climates and production histories, making them a natural comparative setting for agroclimatic modelling.</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2.1.1 Douro Region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Douro wine region is located in north-eastern Portugal, one of the oldest demarcated wine regions in the world. Its topography is dominated by steep schist terraces on the hillsides of the Douro valley. The climate is continental and semi-arid: mean growing-season temperatures reach approximately 19.5°C (Köppen Csa), annual precipitation ranges from 400 to 800 mm concentrated outside the growing season, and most vineyards are non-irrigated. Soil water reserves accumulated during the dormant winter period are the primary buffer against summer water stress. Cunha and Richter (2016) demonstrated that soil water in the previous two to three years exerts a positive carryover effect on current-year production, reflecting the slow recharge of deep schist soil profiles. Douro production has increased substantially over the study period, roughly doubling from ~770 mhl in the 1930s to ~1,400 mhl by the 2010s, partly reflecting the expansion of the Douro DOC appellation for table wines from 1979 onward and the administrative Port production quota system (IVDP benefício, the annual Port production quota).</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2.1.2 Vinho Verde Region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Vinho Verde Region is located in the Minho province of north-western Portugal, the most Atlantic European wine region (Köppen Csb). Mean annual precipitation ranges from 1,200 to 2,000 mm and growing-season temperatures average approximately 17.1°C. In contrast to the Douro, Vinho Verde production declined dramatically over the study period, from approximately 2,300 mhl in the 1960s to around 800 mhl by the 2010s (−65%). This structural decline is associated with Portugal’s EU accession in 1986, which introduced vine grubbing-up incentives under the Common Agricultural Policy and quality standards that penalised the region’s traditional high-yield pergola systems, alongside rural exodus and the gradual conversion to lower-yield espalier training. Because rainfall is generally sufficient to refill soil water reserves year-round in RVV, carryover effects of water deficits are less prominent than in the Douro (Cunha and Richter, 2020).</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2.2 Grapevine Yield Formation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Grapevine yield is the product of five sequential components: vines per hectare, shoots per vine, inflorescences per shoot, berry number per bunch, and berry mass (Zhu et al., 2020). Each component is sensitive to different environmental stimuli at different phenological stages, creating a cascade of climate dependencies that spans two growing seasons. Inflorescence primordia, the embryonic structures that will become grape clusters, are initiated during the spring and summer of the year prior to the harvest year. Whether primordia develop into productive inflorescences or revert to tendrils is governed primarily by temperature and light at the time of differentiation (Zhu et al., 2020): high temperatures encourage inflorescence development, while cool or shaded conditions lead to tendril formation, reducing the following season's potential bunch number. This mechanism means that current-year production is physiologically dependent on prior-year climate, motivating the inclusion of lagged features in the agroclimatic models used in this thesis.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flowering stage, occurring in late spring of the harvest year, determines the number of berries through fruit-set efficiency. Both low and high temperatures disrupt pollination; wet conditions promote Botrytis cinerea and downy mildew, reducing fruit set. The veraison-to-harvest period is governed by temperature and soil water: in the Douro, post-veraison soil water stress typically promotes berry concentration; in Vinho Verde, the wetter Atlantic climate means that canopy management and moisture balance are the dominant ripening-phase constraints.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2.3 Meteorological Drivers of Wine Production Variability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the Douro, Cunha and Richter (2016) demonstrated that spring temperature explains approximately 60–65% of the long-term and short-term behaviour of production, with soil water as the second principal driver. Both current-year and lagged soil water values (up to three years prior) show significant positive correlations with production. Cunha and Richter (2020) further decomposed cyclical production properties using a time-frequency approach, identifying dominant production cycles of approximately 5.7 and 2.5 years linked to spring temperature and soil water oscillations. Climate change projections are of particular concern: Portugal is expected to experience the greatest growing-season temperature increase among major European wine regions (+1.3°C by 2049), with soil water becoming the primary limiting resource in the Douro. For Vinho Verde, the Atlantic climate provides more consistent growing-season moisture; the dominant vulnerability is cool, wet flowering conditions that promote disease and reduce fruit set. Zhu et al. (2020) showed that daily maximum temperature plays a critical role in inflorescence initiation, while both maximum and minimum temperature influence berry number and mass.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2.4 Quantitative Approaches to Wine Yield Prediction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2.4.1 Statistical and Regression Models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earliest quantitative yield prediction models relied on linear and generalised linear regression applied to seasonal climate aggregates. Santos et al. (2011) developed a multivariate linear regression model for Douro yield (1986–2008) using monthly mean temperatures and precipitation from March to June. Bock et al. (2013) analysed correlations between long-term yield records in Lower Franconia (1805–2010) and mean growing-season temperature. Cunha and Richter (2012) applied an autoregressive model and short-time Fourier transform to identify cyclical properties of production in Douro and Vinho Verde. These models are interpretable and grounded in agronomy but assume linear, stationary relationships and cannot capture threshold effects, interactions, or non-stationarity from structural production changes. A methodological review by Fraga et al. (2024) argued that statistical models for climate impacts in grape and wine research remain underused relative to their potential and should be combined with other approaches.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2.4.2 Machine Learning Approaches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past decade has seen rapid growth in the application of machine learning to grape yield and wine production prediction. Random Forest, Support Vector Machines, Gradient Boosting ensembles, and Deep Learning architectures have all been applied to predict yield from meteorological, phenological, and remote sensing data. Lopes et al. (2024) used Random Forest models to identify climatic drivers of wine production in Portugal's Côa region, demonstrating competitive predictive performance with feature importance rankings that align with agronomic expectations. Remote sensing approaches use satellite-derived indices (NDVI, EVI) as proxies for vine vigour at the parcel scale, enabling near-real-time sub-regional yield maps.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These methods achieve strong predictive accuracy and handle non-linear interactions well, but they operate as black-box or grey-box models. Their internal decision logic is not accessible to domain experts, and post-hoc tools such as SHAP values approximate feature influence rather than producing explicit, auditable rules. As Molnar (2019) argues, the trade-off between accuracy and interpretability depends on the intended application. For problems where the aim is to explain which conditions drive production, not merely to forecast, this opacity is a fundamental constraint. No published work applies interpretable rule-based discovery methods to extract statistically validated, human-readable agroclimatic patterns from long regional wine production records.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2.5 Subgroup Discovery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Subgroup discovery (SD) is a descriptive induction technique that identifies subsets of a dataset, defined by conjunctions of attribute-value conditions, within which the distribution of a target variable is statistically exceptional relative to the overall population (Herrera et al., 2011). Unlike classification, which aims to correctly assign every observation to a class, SD aims to find the most interesting local patterns: subgroups that are both statistically significant and sufficiently large to be meaningful. The field was formalised by Wrobel (1997) and Klösgen (1996). Lavrac et al. (2004) extended the CN2 rule learner (Clark and Niblett, 1989) to subgroup discovery (CN2-SD); Kavšek and Lavrac (2006) adapted the Apriori algorithm to SD (APRIORI-SD).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A significant recent development is Exceptional Model Mining (EMM), introduced by Duivesteijn et al. (2016) as a generalisation where the interestingness criterion is based on a model fitted to the subgroup rather than a simple distributional shift test. EMM identifies subgroups where the relationship between variables differs significantly from the global relationship. Lemmerich et al. (2022) introduced robust subgroup discovery with statistical reliability guarantees. Zimmermann and Atzmueller (2019) adapted SD to temporal and sequential data, directly addressing the time-series structure of problems such as the one studied in this thesis.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2.6 Distribution Rules and the CarenR Framework</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2.6.1 Distribution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Distribution rules (DR) were introduced by Jorge et al. (2006) for discovering and presenting conditional distributions of a numeric target variable with respect to a set of input variables. A distribution rule takes the form IF antecedent THEN distribution, where the antecedent is a conjunction of attribute intervals and the consequent is the empirical distribution of the target among matching observations. Unlike conventional association rules, distribution rules preserve the full distributional shape of the outcome. Statistical significance is assessed using the Kolmogorov–Smirnov (KS) test, which compares the empirical cumulative distribution of the target in the subgroup against the global distribution without assuming normality, well suited to small datasets where normality cannot be assumed.</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2.6.2 The CarenR Framework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CarenR (distribution rule discovery framework implemented in R, based on the CAREN association rule engine) is the primary algorithmic contribution of the line of work this thesis extends. It operationalises the distribution rule framework of Jorge et al. (2006) with several additions specifically designed for agroclimatic time series problems.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CarenR pipeline operates in two modes depending on the goal.</w:t>
      </w:r>
    </w:p>
    <w:p>
      <w:pPr>
        <w:spacing w:after="120" w:before="120" w:line="360"/>
        <w:jc w:val="both"/>
      </w:pPr>
      <w:r>
        <w:rPr>
          <w:rFonts w:ascii="Times New Roman" w:cs="Times New Roman" w:eastAsia="Times New Roman" w:hAnsi="Times New Roman"/>
          <w:sz w:val="24"/>
          <w:szCs w:val="24"/>
        </w:rPr>
        <w:t>For Goal 1 (Rule Discovery), CarenR is applied to the full historical dataset using the complete set of domain-engineered features derived from the grape phenological cycle. Continuous features are discretised into equal-frequency bins (quartiles by default), ensuring uniform bin occupancy. CarenR then performs a beam search over conjunctions of feature-bin conditions, evaluating each candidate subgroup using a two-sample KS test against the global distribution. Rules are retained if they pass a significance threshold (p ≤ 0.10) and a minimum support filter (≥ 15% of observations). The output is a set of interpretable conditional patterns linking climate conditions to shifts in the distribution of production residuals.</w:t>
      </w:r>
    </w:p>
    <w:p>
      <w:pPr>
        <w:spacing w:after="120" w:before="120" w:line="360"/>
        <w:jc w:val="both"/>
      </w:pPr>
      <w:r>
        <w:rPr>
          <w:rFonts w:ascii="Times New Roman" w:cs="Times New Roman" w:eastAsia="Times New Roman" w:hAnsi="Times New Roman"/>
          <w:sz w:val="24"/>
          <w:szCs w:val="24"/>
        </w:rPr>
        <w:t>For Goal 2 (Predictive Validation), the same pipeline runs within each training fold rather than on the full dataset, preventing leakage of test-set information. Discretisation, feature selection, and rule induction are all performed on the training fold only. At prediction time, rules that match a test year's conditions have their subgroup medians combined as a support-weighted sum — each rule's median residual weighted by its support fraction; if no rule fires, the model falls back to the training median. The 11 CarenR variants evaluated in this thesis differ from one another in the feature selection step applied within each fold.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CarenR differs from RIPPER and M5Rules in what it optimises: it asks whether the distribution of production residuals shifts significantly within a subgroup, rather than assigning class labels or minimising squared error. A feature that reliably shifts the distribution mean, even when the distribution remains wide and overlapping with the global one, will be detected by CarenR but not by classification or regression criteria. This is why Leaf Area Index (LAI) at harvest, the dominant feature in Vinho Verde CarenR rules, is not selected by RIPPER or M5Rules despite its agronomic relevance (Section 4.6.3).</w:t>
      </w:r>
    </w:p>
    <w:p>
      <w:pPr>
        <w:spacing w:after="80" w:before="80"/>
      </w:pPr>
      <w:r>
        <w:t xml:space="preserve"/>
      </w:r>
    </w:p>
    <w:p>
      <w:pPr>
        <w:spacing w:after="120" w:before="120" w:line="360"/>
        <w:jc w:val="both"/>
      </w:pPr>
      <w:r>
        <w:rPr>
          <w:rFonts w:ascii="Times New Roman" w:cs="Times New Roman" w:eastAsia="Times New Roman" w:hAnsi="Times New Roman"/>
          <w:sz w:val="24"/>
          <w:szCs w:val="24"/>
        </w:rPr>
        <w:t>CarenR has been applied in agricultural settings in previous work by the research group at the University of Porto (Moreira et al., 2022), primarily in the context of viticulture rule discovery. The present thesis represents its first systematic evaluation in a walk-forward predictive validation framework across two contrasting wine regions, with explicit statistical testing and era-composition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2.7 Positioning and Research Gap</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2.1 situates this thesis within the broader landscape of literature reviewed in this chapter.</w:t>
      </w:r>
    </w:p>
    <w:p>
      <w:pPr>
        <w:spacing w:after="80" w:before="8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100"/>
        <w:gridCol w:w="1200"/>
        <w:gridCol w:w="1100"/>
        <w:gridCol w:w="2900"/>
      </w:tblGrid>
      <w:tr>
        <w:trPr>
          <w:tblHeader/>
        </w:trPr>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Research stream</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Primary goal</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Interpretable?</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Continuous target?</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Long time series?</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Representative references</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Statistical regression models</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Prediction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Cunha &amp; Richter 2016/2020; Santos et al. 2011</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Modern ML (RF, LSTM, SVM)</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Prediction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Limited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Partial</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Lopes et al. 2024; Santos et al.</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Explainable AI / SHAP</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Post-hoc explanation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Partial</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Molnar 2019</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Subgroup discovery (classical)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Pattern discovery</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Partial</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Lavrac et al. 2004; Herrera et al. 2011</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Exceptional model mining</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Pattern discovery</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Partial</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Duivesteijn et al. 2016; Zimmermann 2019</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Distribution rules (CarenR)</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Discovery + prediction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Jorge et al. 2006: THIS THESIS</w:t>
            </w:r>
          </w:p>
        </w:tc>
      </w:tr>
    </w:tbl>
    <w:p>
      <w:pPr>
        <w:spacing w:after="200" w:before="80"/>
        <w:jc w:val="center"/>
      </w:pPr>
      <w:r>
        <w:rPr>
          <w:rFonts w:ascii="Times New Roman" w:cs="Times New Roman" w:eastAsia="Times New Roman" w:hAnsi="Times New Roman"/>
          <w:i/>
          <w:iCs/>
          <w:sz w:val="20"/>
          <w:szCs w:val="20"/>
        </w:rPr>
        <w:t xml:space="preserve">Table 2.1. Literature map positioning this thesis relative to existing research streams.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No existing stream combines all five properties simultaneously. This thesis applies CarenR to two Portuguese wine regions spanning 80–89 years, contributing (1) the first systematic walk-forward evaluation of distributional subgroup discovery for wine production forecasting with phenology-informed feature engineering, (2) a two-decision decomposition framework that diagnoses when and why rule-based prediction succeeds or fails, and (3) a cross-regional comparison that reveals how structural production history interacts with climate signal availability.</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2026-06-04T15:55:09.499Z</dcterms:created>
  <dcterms:modified xsi:type="dcterms:W3CDTF">2026-06-04T15:55:09.499Z</dcterms:modified>
</cp:coreProperties>
</file>

<file path=docProps/custom.xml><?xml version="1.0" encoding="utf-8"?>
<Properties xmlns="http://schemas.openxmlformats.org/officeDocument/2006/custom-properties" xmlns:vt="http://schemas.openxmlformats.org/officeDocument/2006/docPropsVTypes"/>
</file>