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Three rule-learning algorithms were evaluated, representing three fundamentally different approaches to extracting interpretable patterns from the same data. Understanding how each algorithm works internally, and specifically what question it is designed to answer,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Very high,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Medium: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3.4.1 CarenR: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is built on the CAREN association rule engine,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Most rule-learning algorithms ask: "what value does this observation have?" CarenR asks a different question: "is there a subgroup of observations, defined by a conjunction of input feature conditions,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the entire distributional shape is different —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Feature discretisation. </w:t>
      </w:r>
      <w:r>
        <w:rPr>
          <w:rFonts w:ascii="Times New Roman" w:cs="Times New Roman" w:eastAsia="Times New Roman" w:hAnsi="Times New Roman"/>
          <w:sz w:val="24"/>
          <w:szCs w:val="24"/>
        </w:rPr>
        <w:t>CarenR requires discrete (ordinal) input features. Each continuous climate feature is independently discretised into four equal-frequency bins (quartiles). Equal-frequency binning ensures that each bin contains approximately the same number of observations, avoiding sparse bins at extreme values that would make the KS test unreliable. For example, the feature swa_hv_y1_b20 (soil water at harvest) might be discretised into bins [20–74 mm], [74–101 mm], [101–152 mm], [152–350 mm], each containing approximately 22 of the 89 RDD observations. For Goal 1 (Rule Discovery), bin boundaries are computed on the full historical dataset. For Goal 2 (Predictive Validation), bin boundaries are computed exclusively on the training fold within each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Feature selection (Goal 2 only). </w:t>
      </w:r>
      <w:r>
        <w:rPr>
          <w:rFonts w:ascii="Times New Roman" w:cs="Times New Roman" w:eastAsia="Times New Roman" w:hAnsi="Times New Roman"/>
          <w:sz w:val="24"/>
          <w:szCs w:val="24"/>
        </w:rPr>
        <w:t>This step applies only to Goal 2 (Predictive Validation). For Goal 1 (Rule Discovery), CarenR operates on all 59 domain-engineered features without further algorithmic filtering — the feature set is defined entirely by viticulture domain knowledge. For Goal 2, with 59 candidate features each discretised into 4 bins, the full itemset search space is combinatorially large, and a feature selection step reduces the feature set before rule induction. This thesis evaluates several selection strategies (described in Table 3.3 below) as distinct CarenR variants. Three selection strategies are evaluated, each reflecting a different way of measuring association between a discrete feature and a continuous target. η²-based selection (eta-squared) is the most statistically appropriate: it applies a one-way ANOVA across the four bins of each feature and measures how much of the variance in the continuous production residual is explained by the discrete groupings — directly answering whether the bins produce meaningfully different production distributions. Pearson correlation (|r| above the median across all features) is a simpler approximation that treats bin numbers as equally spaced ordinal values; it is less rigorous but computationally efficient and tends to identify the same features in practice. Support-filtered Pearson selection adds a coverage requirement: each bin of a retained feature must contain at least a minimum fraction of training observations, preventing selection of features with extreme or sparse bin distributions. The convergence of all three strategies on the same variable families (confirmed in Section 4.6) is evidence that the feature rankings are robust to the choice of selection criterion. All feature selection is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Rule induction via subgroup search. </w:t>
      </w:r>
      <w:r>
        <w:rPr>
          <w:rFonts w:ascii="Times New Roman" w:cs="Times New Roman" w:eastAsia="Times New Roman" w:hAnsi="Times New Roman"/>
          <w:sz w:val="24"/>
          <w:szCs w:val="24"/>
        </w:rPr>
        <w:t>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satisfying all conditions are identified — for Goal 1 this is the full historical dataset; for Goal 2 it is the training fold — and a two-sample Kolmogorov–Smirnov (KS) test is performed comparing the target distribution in the subgroup against the global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The Kolmogorov–Smirnov test. </w:t>
      </w:r>
      <w:r>
        <w:rPr>
          <w:rFonts w:ascii="Times New Roman" w:cs="Times New Roman" w:eastAsia="Times New Roman" w:hAnsi="Times New Roman"/>
          <w:sz w:val="24"/>
          <w:szCs w:val="24"/>
        </w:rPr>
        <w:t>The KS test is a non-parametric statistical test that compares two empirical cumulative distribution functions (ECDFs). Given a subgroup S of n_S observations and the global reference set of n_T observations (the full dataset for Goal 1, the training fold for Goal 2),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where F_S(x) is the empirical CDF of the target in the subgroup and F_T(x) is the empirical CDF in the global set. A large D indicates that the two distributions are far apart —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Support filter. </w:t>
      </w:r>
      <w:r>
        <w:rPr>
          <w:rFonts w:ascii="Times New Roman" w:cs="Times New Roman" w:eastAsia="Times New Roman" w:hAnsi="Times New Roman"/>
          <w:sz w:val="24"/>
          <w:szCs w:val="24"/>
        </w:rPr>
        <w:t>A statistically significant rule that covers only two or three observations (very low support) is not useful: it describes a pattern too rare to be actionable and is likely to be a chance finding. CarenR applies a minimum support filter: a rule is retained only if it covers at least 15% of the reference observations — approximately 12–13 years for an 89-year dataset in Goal 1, or the equivalent share of the training fold in Goal 2.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Rule output and prediction. </w:t>
      </w:r>
      <w:r>
        <w:rPr>
          <w:rFonts w:ascii="Times New Roman" w:cs="Times New Roman" w:eastAsia="Times New Roman" w:hAnsi="Times New Roman"/>
          <w:sz w:val="24"/>
          <w:szCs w:val="24"/>
        </w:rPr>
        <w:t>Each retained rule describes a climate subgroup as a conjunction of feature-bin conditions, along with the median residual of the target variable within the subgroup and the KS p-value. An example RDD rule output reads: "IF wet days post-flowering ∈ [0, 3.33] AND wet days post-maturity ∈ [0, 3.46] THEN production is +121 mhl above trend on average (support 28%, p = 0.0043)." For Goal 1, the retained rules are the direct output — each rule represents an interpretable agroclimatic pattern. For Goal 2 (Predictive Validation), the feature values of a test year are checked against all retained rules. If one or more rules fire, their subgroup medians are combined as a support-weighted sum — each rule's median residual weighted by the proportion of training observations it covers. If no rule fires, the model falls back to the training median residual, producing the same prediction as the Naive_Median baseline. This fallback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for example, LAI at harvest in Vinho Verde (Section 4.6.3), which reliably shifts the distribution of production residuals without reliably predicting any single year's exact value. Second, rules are verified against a global null distribution rather than constructed greedily to separate pre-defined classes, making them statistically grounded in a way that classification rules are not. Third, the prediction framework developed in this thesis incorporates an explicit fallback mechanism: when no rule matches a test year's conditions, the prediction defaults to the training median rather than forcing an uninformed estimate. This design choice makes the overall approach conservative — it only departs from the naive baseline when at least one rule fires, ensuring that CarenR's predictions can only add noise if they are wrong, never if they abstain.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Best for RDD,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0.30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threshold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0.30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Threshold and support combined; base for Lag, Conf, Stack variants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Maximise between-group residual SS (greedy 1D splits)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3.4.2 RIPPER: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RIPPER is a classifier and requires a discrete target variable. The continuous production residuals are therefore discretised into three ordinal classes — Low, Medium, and High — using tertile boundaries. For Goal 1 (Rule Discovery), boundaries are estimated on the full historical dataset. For Goal 2 (Predictive Validation), boundaries are estimated within each training fold to prevent leakage. Each class contains approximately one third of the observations.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RIPPER constructs rules one class at a time, starting with the minority class and working towards the majority class. For each class, it grows a rule by greedily adding conditions that maximise the FOIL information gain,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The final output of RIPPER is an ordered rule list: rules are applied in the order they were learned, and the first rule whose conditions are satisfied assigns the class for a given observation. Any observation not covered by any explicit rule is assigned the default class,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only slightly above the 33% random baseline,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3.4.3 M5Rules: Rule Induction with Linear Regression Consequents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subgroup-median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The three algorithms differ fundamentally in what they optimise and what they produce. CarenR searches for distributional anomalies using a non-parametric test; it will find a feature informative if it shifts the distribution of production residuals in a statistically reliable way, even if that shift is not captured by a linear coefficient or a class boundary. RIPPER searches for class-separating conditions using information gain; it will find a feature informative if it concentrates one production class, regardless of the distribution of other classes. M5Rules searches for variance-reducing splits using squared error; it will find a feature informative if it enables a more accurate linear model, penalising large deviations quadratically. A feature that shifts the mean of the distribution of production residuals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 linear trend estimation, feature discretisation, and feature selection — are performed exclusively on the training fold within each scenario to prevent data leakage.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predicts the median of the training-set residuals for every test year,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Tree (CART): </w:t>
      </w:r>
      <w:r>
        <w:rPr>
          <w:rFonts w:ascii="Times New Roman" w:cs="Times New Roman" w:eastAsia="Times New Roman" w:hAnsi="Times New Roman"/>
          <w:sz w:val="24"/>
          <w:szCs w:val="24"/>
        </w:rPr>
        <w:t xml:space="preserve">a CART regressor included as a non-rule-based ML comparator. Unlike the rule-learning algorithms, CART partitions the feature space using recursive binary splits that minimise squared error at each node, producing a tree structure rather than an explicit IF-THEN rule list. It was included to test whether the interpretability constraint comes at a cost in predictive performance relative to a standard ML baseline. The tree was fitted with default Weka hyperparameters within each training fold, subject to the same walk-forward protocol as all other models.</w:t>
      </w:r>
    </w:p>
    <w:p/>
    <w:p>
      <w:pPr>
        <w:spacing w:before="120" w:after="120" w:line="360" w:lineRule="auto"/>
      </w:pPr>
      <w:r>
        <w:rPr>
          <w:rFonts w:ascii="Times New Roman" w:hAnsi="Times New Roman"/>
          <w:sz w:val="24"/>
        </w:rPr>
        <w:t>The 17 models evaluated in the walk-forward experiment span three categories: four baselines and comparators (Naive_Median, Naive, Naive_MA, and Decision Tree), two standard rule learners (RIPPER and M5Rules), and 11 CarenR variants. The baselines serve as benchmarks against which rule-learning algorithms are assessed: Naive_Median is the primary reference (it minimises MAE under a constant prediction), while Naive and Naive_MA test whether any model adds value over simpler alternatives that ignore climate information entirely. Decision Tree is included as a non-rule-based ML comparator to isolate the contribution of rule structure. The 11 CarenR variants all use the same distributional subgroup discovery algorithm but differ in how features are pre-selected within each training fold, enabling a systematic sensitivity analysis of this design choice. Table 3.8 lists all 17 models.</w:t>
      </w:r>
    </w:p>
    <w:p/>
    <w:tbl>
      <w:tblPr>
        <w:tblW w:w="9360" w:type="dxa"/>
      </w:tblPr>
      <w:tblGrid>
        <w:gridCol w:w="2000"/>
        <w:gridCol w:w="1800"/>
        <w:gridCol w:w="5560"/>
      </w:tblGrid>
      <w:tr>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Model</w:t>
            </w:r>
          </w:p>
        </w:tc>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Type</w:t>
            </w:r>
          </w:p>
        </w:tc>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Feature selection / distinguishing design choice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Naive_Median</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training-set median residual (primary baseline)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most recent observed value (random-walk)</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Naive_MA</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mean of 3 most recent training observations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Decision Tree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ML comparator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CART regressor on all 59 features; recursive binary splits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RIPPER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Rule learner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Classification rules on tertile-discretised residuals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M5Rules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Rule learner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Piecewise linear regression rules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All 59 features; default minimum support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CarenR_Dist_FS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Top-N features by |Pearson correlation| with target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CarenR_Dist_Thresh</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Features with |correlation| &gt;= 0.30</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All 59 features; higher minimum support (broader rules)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CarenR_Dist_Sup_Thresh</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Correlation threshold + higher minimum support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CarenR_Dist_Eta2</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Top-N features by eta-squared (ANOVA on discretised bins)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CarenR_Dist_Lag</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config + lagged production residuals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CarenR_Dist_Conf</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config; confidence-weighted by -log(p-value)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CarenR_Dist_Stack</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rules stacked with a lag regression step</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CarenR_Dist_Sup_FS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Support-filtered + top-N Pearson feature selection</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CarenR_Supervised</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 xml:space="preserve">Per-fold supervised feature discretisation (cut-points maximise residual separation)</w:t>
            </w:r>
          </w:p>
        </w:tc>
      </w:tr>
    </w:tbl>
    <w:p>
      <w:pPr>
        <w:spacing w:before="120" w:after="120" w:line="360" w:lineRule="auto"/>
        <w:jc w:val="center"/>
      </w:pPr>
      <w:r>
        <w:rPr>
          <w:rFonts w:ascii="Times New Roman" w:hAnsi="Times New Roman"/>
          <w:sz w:val="20"/>
        </w:rPr>
        <w:t>Table 3.8. Complete set of 17 models evaluated in the walk-forward validation.</w:t>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2026-06-03T18:45:50.842Z</dcterms:created>
  <dcterms:modified xsi:type="dcterms:W3CDTF">2026-06-03T18:45:50.842Z</dcterms:modified>
</cp:coreProperties>
</file>

<file path=docProps/custom.xml><?xml version="1.0" encoding="utf-8"?>
<Properties xmlns="http://schemas.openxmlformats.org/officeDocument/2006/custom-properties" xmlns:vt="http://schemas.openxmlformats.org/officeDocument/2006/docPropsVTypes"/>
</file>