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2E4057"/>
          <w:sz w:val="32"/>
          <w:szCs w:val="32"/>
        </w:rPr>
        <w:t xml:space="preserve">AI Use Transparency Appendix</w:t>
      </w:r>
    </w:p>
    <w:p>
      <w:pPr>
        <w:spacing w:after="80" w:before="80"/>
      </w:pPr>
      <w:r>
        <w:rPr>
          <w:b/>
          <w:bCs/>
        </w:rPr>
        <w:t xml:space="preserve">Thesis title: </w:t>
      </w:r>
      <w:r>
        <w:t xml:space="preserve">Rule-based Machine Learning for Wine Production Forecasting: A Distributional Subgroup Discovery Approach</w:t>
      </w:r>
    </w:p>
    <w:p>
      <w:pPr>
        <w:spacing w:after="80" w:before="80"/>
      </w:pPr>
      <w:r>
        <w:rPr>
          <w:b/>
          <w:bCs/>
        </w:rPr>
        <w:t xml:space="preserve">Student: </w:t>
      </w:r>
      <w:r>
        <w:t xml:space="preserve">Hugo Nogueira</w:t>
      </w:r>
    </w:p>
    <w:p>
      <w:pPr>
        <w:spacing w:after="80" w:before="80"/>
      </w:pPr>
      <w:r>
        <w:rPr>
          <w:b/>
          <w:bCs/>
        </w:rPr>
        <w:t xml:space="preserve">Tool used: </w:t>
      </w:r>
      <w:r>
        <w:t xml:space="preserve">Claude (Anthropic), model claude-sonnet-4-6, accessed via Claude Cowork desktop application</w:t>
      </w:r>
    </w:p>
    <w:p>
      <w:pPr>
        <w:spacing w:after="80" w:before="80"/>
      </w:pPr>
      <w:r>
        <w:rPr>
          <w:b/>
          <w:bCs/>
        </w:rPr>
        <w:t xml:space="preserve">Period of use: </w:t>
      </w:r>
      <w:r>
        <w:t xml:space="preserve">May–June 2026</w:t>
      </w:r>
    </w:p>
    <w:p>
      <w:pPr>
        <w:spacing w:after="80" w:before="80"/>
      </w:pPr>
      <w:r>
        <w:t xml:space="preserve"/>
      </w:r>
    </w:p>
    <w:p>
      <w:pPr>
        <w:pStyle w:val="Heading1"/>
        <w:spacing w:after="100" w:before="200"/>
      </w:pPr>
      <w:r>
        <w:rPr>
          <w:b/>
          <w:bCs/>
        </w:rPr>
        <w:t xml:space="preserve">1. Overview of AI Use</w:t>
      </w:r>
    </w:p>
    <w:p>
      <w:pPr>
        <w:spacing w:after="80" w:before="80"/>
      </w:pPr>
      <w:r>
        <w:t xml:space="preserve">AI was used throughout the writing and revision process of this dissertation. All research activities — dataset construction, R pipeline development, CarenR experiments, statistical analysis, and interpretation of results — were carried out independently by the student. AI use was restricted to four categories: (1) writing support, (2) substantive content revision, (3) code generation for auxiliary scripts, and (4) numerical verification.</w:t>
      </w:r>
    </w:p>
    <w:p>
      <w:pPr>
        <w:spacing w:after="80" w:before="80"/>
      </w:pPr>
      <w:r>
        <w:t xml:space="preserve">The student directed all AI interactions, reviewed every output, and validated all content against primary data sources. The numerical verification process (Section 4) was specifically designed to detect and correct AI-generated errors in the thesis text.</w:t>
      </w:r>
    </w:p>
    <w:p>
      <w:pPr>
        <w:spacing w:after="80" w:before="80"/>
      </w:pPr>
      <w:r>
        <w:t xml:space="preserve"/>
      </w:r>
    </w:p>
    <w:p>
      <w:pPr>
        <w:pStyle w:val="Heading1"/>
        <w:spacing w:after="100" w:before="200"/>
      </w:pPr>
      <w:r>
        <w:rPr>
          <w:b/>
          <w:bCs/>
        </w:rPr>
        <w:t xml:space="preserve">2. Writing Support — All Chapters</w:t>
      </w:r>
    </w:p>
    <w:p>
      <w:pPr>
        <w:spacing w:after="80" w:before="80"/>
      </w:pPr>
      <w:r>
        <w:t xml:space="preserve">Writing support (grammatical corrections, comma splice fixes, reformulation of awkward phrasing, removal of formulaic AI-sounding constructions) was applied across all chapters. This is the most widespread category of use. The student identified problems and directed specific corrections; AI did not generate substantive new content in this category.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4926"/>
      </w:tblGrid>
      <w:tr>
        <w:trPr>
          <w:tblHeader/>
        </w:trPr>
        <w:tc>
          <w:tcPr>
            <w:tcW w:type="dxa" w:w="18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Section</w:t>
            </w:r>
          </w:p>
        </w:tc>
        <w:tc>
          <w:tcPr>
            <w:tcW w:type="dxa" w:w="23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Type of editing</w:t>
            </w:r>
          </w:p>
        </w:tc>
        <w:tc>
          <w:tcPr>
            <w:tcW w:type="dxa" w:w="492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Example prompt</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Abstract</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Reformulation, AI-phrase removal</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"rewrite any AI-sounding phrases to be more direct and academic"</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1 — Introduction</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Sentence restructuring, comma splices</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"fix grammar and AI-sounding phrases throughout"</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2 — Literature Review</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Reformulation, hedging language</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"flag and rewrite passages that sound AI-generated"</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3 — Methods</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Comma splices, paragraph flow</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"fix comma splices and reformulate where needed"</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7 — Conclusions</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Factual correction</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(numerical fix only, see Section 4)</w:t>
            </w:r>
          </w:p>
        </w:tc>
      </w:tr>
    </w:tbl>
    <w:p>
      <w:pPr>
        <w:spacing w:after="80" w:before="80"/>
      </w:pPr>
      <w:r>
        <w:t xml:space="preserve"/>
      </w:r>
    </w:p>
    <w:p>
      <w:pPr>
        <w:pStyle w:val="Heading1"/>
        <w:spacing w:after="100" w:before="200"/>
      </w:pPr>
      <w:r>
        <w:rPr>
          <w:b/>
          <w:bCs/>
        </w:rPr>
        <w:t xml:space="preserve">3. Substantive Content Revision</w:t>
      </w:r>
    </w:p>
    <w:p>
      <w:pPr>
        <w:spacing w:after="80" w:before="80"/>
      </w:pPr>
      <w:r>
        <w:t xml:space="preserve">In several sections, AI was used to generate or substantially rewrite one or more paragraphs. These are declared below at section level with representative prompts and iteration examples as required.</w:t>
      </w:r>
    </w:p>
    <w:p>
      <w:pPr>
        <w:spacing w:after="80" w:before="80"/>
      </w:pPr>
      <w:r>
        <w:t xml:space="preserve"/>
      </w:r>
    </w:p>
    <w:p>
      <w:pPr>
        <w:pStyle w:val="Heading2"/>
        <w:spacing w:after="100" w:before="200"/>
      </w:pPr>
      <w:r>
        <w:rPr>
          <w:b/>
          <w:bCs/>
        </w:rPr>
        <w:t xml:space="preserve">3.1 Chapter 3 — Methods: CarenR_Supervised Description</w:t>
      </w:r>
    </w:p>
    <w:p>
      <w:pPr>
        <w:spacing w:after="80" w:before="80"/>
      </w:pPr>
      <w:r>
        <w:rPr>
          <w:b/>
          <w:bCs/>
        </w:rPr>
        <w:t xml:space="preserve">Location: </w:t>
      </w:r>
      <w:r>
        <w:t xml:space="preserve">Section 3.4.1, CarenR variant table and Table 3.8</w:t>
      </w:r>
    </w:p>
    <w:p>
      <w:pPr>
        <w:spacing w:after="80" w:before="80"/>
      </w:pPr>
      <w:r>
        <w:rPr>
          <w:b/>
          <w:bCs/>
        </w:rPr>
        <w:t xml:space="preserve">Purpose: </w:t>
      </w:r>
      <w:r>
        <w:t xml:space="preserve">The original description of the CarenR_Supervised variant incorrectly described it as performing “discretisation of the response variable.” After the student identified the correct behaviour from the source code, AI was used to rewrite the description accurately.</w:t>
      </w:r>
    </w:p>
    <w:p>
      <w:pPr>
        <w:spacing w:after="80" w:before="80"/>
      </w:pPr>
      <w:r>
        <w:t xml:space="preserve"/>
      </w:r>
    </w:p>
    <w:p>
      <w:pPr>
        <w:spacing w:after="80" w:before="80"/>
      </w:pPr>
      <w:r>
        <w:t xml:space="preserve">Iteration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313"/>
        <w:gridCol w:w="4313"/>
      </w:tblGrid>
      <w:tr>
        <w:trPr>
          <w:tblHeader/>
        </w:trPr>
        <w:tc>
          <w:tcPr>
            <w:tcW w:type="dxa" w:w="4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w:t>
            </w:r>
          </w:p>
        </w:tc>
        <w:tc>
          <w:tcPr>
            <w:tcW w:type="dxa" w:w="431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Prompt</w:t>
            </w:r>
          </w:p>
        </w:tc>
        <w:tc>
          <w:tcPr>
            <w:tcW w:type="dxa" w:w="431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Outcome</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"what is the CarenR_Supervised, which performs discretisation of the response variable?"</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AI explained the difference between response discretisation and feature discretisation</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"yes" [to updating the description in ch3]</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Description updated: “performs discretisation of the response variable” → “uses supervised feature discretisation — deriving bin cut-points by maximising residual separation within each training fold”</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"check in the table at chapter 3 if some update is needed"</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Table 3.8 description updated to match; missing CarenR_Dist_Sup_Thresh row added to variant table</w:t>
            </w:r>
          </w:p>
        </w:tc>
      </w:tr>
    </w:tbl>
    <w:p>
      <w:pPr>
        <w:spacing w:after="80" w:before="80"/>
      </w:pPr>
      <w:r>
        <w:t xml:space="preserve"/>
      </w:r>
    </w:p>
    <w:p>
      <w:pPr>
        <w:pStyle w:val="Heading2"/>
        <w:spacing w:after="100" w:before="200"/>
      </w:pPr>
      <w:r>
        <w:rPr>
          <w:b/>
          <w:bCs/>
        </w:rPr>
        <w:t xml:space="preserve">3.2 Chapter 3 — Methods: Table 3.8 New Row</w:t>
      </w:r>
    </w:p>
    <w:p>
      <w:pPr>
        <w:spacing w:after="80" w:before="80"/>
      </w:pPr>
      <w:r>
        <w:rPr>
          <w:b/>
          <w:bCs/>
        </w:rPr>
        <w:t xml:space="preserve">Location: </w:t>
      </w:r>
      <w:r>
        <w:t xml:space="preserve">Section 3.4.1, Table 3.8 (CarenR variant breakdown)</w:t>
      </w:r>
    </w:p>
    <w:p>
      <w:pPr>
        <w:spacing w:after="80" w:before="80"/>
      </w:pPr>
      <w:r>
        <w:rPr>
          <w:b/>
          <w:bCs/>
        </w:rPr>
        <w:t xml:space="preserve">Purpose: </w:t>
      </w:r>
      <w:r>
        <w:t xml:space="preserve">The CarenR_Dist_Sup_Thresh variant was missing from the 11-variant breakdown table. After the student identified the gap, AI generated the missing row content based on the existing table structure and the student’s understanding of the variant.</w:t>
      </w:r>
    </w:p>
    <w:p>
      <w:pPr>
        <w:spacing w:after="80" w:before="80"/>
      </w:pPr>
      <w:r>
        <w:t xml:space="preserve"/>
      </w:r>
    </w:p>
    <w:p>
      <w:pPr>
        <w:pStyle w:val="Heading2"/>
        <w:spacing w:after="100" w:before="200"/>
      </w:pPr>
      <w:r>
        <w:rPr>
          <w:b/>
          <w:bCs/>
        </w:rPr>
        <w:t xml:space="preserve">3.3 Chapter 5 — Prediction: Test Period Table Corrections</w:t>
      </w:r>
    </w:p>
    <w:p>
      <w:pPr>
        <w:spacing w:after="80" w:before="80"/>
      </w:pPr>
      <w:r>
        <w:rPr>
          <w:b/>
          <w:bCs/>
        </w:rPr>
        <w:t xml:space="preserve">Location: </w:t>
      </w:r>
      <w:r>
        <w:t xml:space="preserve">Section 5.3, Tables 5.8 and 5.9 (walk-forward scenario tables)</w:t>
      </w:r>
    </w:p>
    <w:p>
      <w:pPr>
        <w:spacing w:after="80" w:before="80"/>
      </w:pPr>
      <w:r>
        <w:rPr>
          <w:b/>
          <w:bCs/>
        </w:rPr>
        <w:t xml:space="preserve">Purpose: </w:t>
      </w:r>
      <w:r>
        <w:t xml:space="preserve">The student identified that the “Test yr” column was showing single years rather than multi-year test periods. AI was used to compute the correct test period ranges from the data and rewrite all 34 rows across both tables.</w:t>
      </w:r>
    </w:p>
    <w:p>
      <w:pPr>
        <w:spacing w:after="80" w:before="80"/>
      </w:pPr>
      <w:r>
        <w:t xml:space="preserve"/>
      </w:r>
    </w:p>
    <w:p>
      <w:pPr>
        <w:spacing w:after="80" w:before="80"/>
      </w:pPr>
      <w:r>
        <w:t xml:space="preserve">Iteration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313"/>
        <w:gridCol w:w="4313"/>
      </w:tblGrid>
      <w:tr>
        <w:trPr>
          <w:tblHeader/>
        </w:trPr>
        <w:tc>
          <w:tcPr>
            <w:tcW w:type="dxa" w:w="4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w:t>
            </w:r>
          </w:p>
        </w:tc>
        <w:tc>
          <w:tcPr>
            <w:tcW w:type="dxa" w:w="431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Prompt</w:t>
            </w:r>
          </w:p>
        </w:tc>
        <w:tc>
          <w:tcPr>
            <w:tcW w:type="dxa" w:w="431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Outcome</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"is this table the test year shouldn’t be a couple of years?"</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AI confirmed the test periods span multiple years and extracted correct ranges from scenario_metrics_rdd/rvv.csv</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[review of proposed corrections]</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Student validated ranges against their own understanding of the walk-forward setup; RVV train periods also corrected (were 4 years off)</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tc>
      </w:tr>
    </w:tbl>
    <w:p>
      <w:pPr>
        <w:spacing w:after="80" w:before="80"/>
      </w:pPr>
      <w:r>
        <w:t xml:space="preserve"/>
      </w:r>
    </w:p>
    <w:p>
      <w:pPr>
        <w:pStyle w:val="Heading2"/>
        <w:spacing w:after="100" w:before="200"/>
      </w:pPr>
      <w:r>
        <w:rPr>
          <w:b/>
          <w:bCs/>
        </w:rPr>
        <w:t xml:space="preserve">3.4 Chapter 5 — Prediction: Bold Label Paragraphs</w:t>
      </w:r>
    </w:p>
    <w:p>
      <w:pPr>
        <w:spacing w:after="80" w:before="80"/>
      </w:pPr>
      <w:r>
        <w:rPr>
          <w:b/>
          <w:bCs/>
        </w:rPr>
        <w:t xml:space="preserve">Location: </w:t>
      </w:r>
      <w:r>
        <w:t xml:space="preserve">Section 5.3 (per-scenario analysis paragraphs)</w:t>
      </w:r>
    </w:p>
    <w:p>
      <w:pPr>
        <w:spacing w:after="80" w:before="80"/>
      </w:pPr>
      <w:r>
        <w:rPr>
          <w:b/>
          <w:bCs/>
        </w:rPr>
        <w:t xml:space="preserve">Purpose: </w:t>
      </w:r>
      <w:r>
        <w:t xml:space="preserve">Several paragraphs with a bold label (e.g., “Scenarios 3 and 4:”) had their formatting collapsed when previous edits were applied. AI reconstructed the correct bold-label + normal-body structure.</w:t>
      </w:r>
    </w:p>
    <w:p>
      <w:pPr>
        <w:spacing w:after="80" w:before="80"/>
      </w:pPr>
      <w:r>
        <w:t xml:space="preserve"/>
      </w:r>
    </w:p>
    <w:p>
      <w:pPr>
        <w:spacing w:after="80" w:before="80"/>
      </w:pPr>
      <w:r>
        <w:t xml:space="preserve">Iteration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313"/>
        <w:gridCol w:w="4313"/>
      </w:tblGrid>
      <w:tr>
        <w:trPr>
          <w:tblHeader/>
        </w:trPr>
        <w:tc>
          <w:tcPr>
            <w:tcW w:type="dxa" w:w="4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w:t>
            </w:r>
          </w:p>
        </w:tc>
        <w:tc>
          <w:tcPr>
            <w:tcW w:type="dxa" w:w="431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Prompt</w:t>
            </w:r>
          </w:p>
        </w:tc>
        <w:tc>
          <w:tcPr>
            <w:tcW w:type="dxa" w:w="431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Outcome</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"this is in bold... apply the same format as the others [Scenarios 3 and 4 paragraph]"</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AI identified the paragraph and reconstructed two-run structure: bold label up to colon, normal body text</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Same fix applied to “Scenarios 17 and 18” and “The fallback pattern” paragraphs</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"while executing it, this par is full in bold [Why η² wins in RDD]"</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Same fix applied in Chapter 5 expand file</w:t>
            </w:r>
          </w:p>
        </w:tc>
      </w:tr>
    </w:tbl>
    <w:p>
      <w:pPr>
        <w:pStyle w:val="Heading2"/>
        <w:spacing w:after="100" w:before="200"/>
      </w:pPr>
      <w:r>
        <w:rPr>
          <w:b/>
          <w:bCs/>
        </w:rPr>
        <w:t xml:space="preserve">3.5 Technical Figures — AI-Generated Diagrams</w:t>
      </w:r>
    </w:p>
    <w:p>
      <w:pPr>
        <w:spacing w:after="80" w:before="80"/>
      </w:pPr>
      <w:r>
        <w:t xml:space="preserve">Six technical diagrams were produced with AI assistance using Python and the matplotlib/networkx libraries. Each figure was generated from scratch by Claude based on a description of the required content; the student specified the layout, labels, and data values, then reviewed and approved the output before embedding it in the thesis.</w:t>
      </w:r>
    </w:p>
    <w:p>
      <w:pPr>
        <w:spacing w:after="80" w:before="80"/>
      </w:pPr>
      <w:r>
        <w:rPr>
          <w:b/>
          <w:bCs/>
        </w:rPr>
        <w:t xml:space="preserve">Figure 1 — Data pipeline overview (fig_pipeline_flow.png): </w:t>
      </w:r>
      <w:r>
        <w:t xml:space="preserve">Embedded in Chapter 3 (Section 3.1). A node-and-arrow diagram showing the full experiment workflow from raw CSV input through preprocessing, CarenR rule extraction, walk-forward scenario generation, and evaluation output.</w:t>
      </w:r>
    </w:p>
    <w:p>
      <w:pPr>
        <w:spacing w:after="80" w:before="80"/>
      </w:pPr>
      <w:r>
        <w:rPr>
          <w:b/>
          <w:bCs/>
        </w:rPr>
        <w:t xml:space="preserve">Figure 2 — Walk-forward validation diagram (fig_walkforward.png): </w:t>
      </w:r>
      <w:r>
        <w:t xml:space="preserve">Embedded in Chapter 3 (Section 3.5). A timeline-style diagram illustrating the expanding-window setup for 18 RDD and 16 RVV scenarios, with training and test window extents shown explicitly.</w:t>
      </w:r>
    </w:p>
    <w:p>
      <w:pPr>
        <w:spacing w:after="80" w:before="80"/>
      </w:pPr>
      <w:r>
        <w:rPr>
          <w:b/>
          <w:bCs/>
        </w:rPr>
        <w:t xml:space="preserve">Figure 3 — CarenR algorithm flowchart (fig_carenr_flowchart.png): </w:t>
      </w:r>
      <w:r>
        <w:t xml:space="preserve">Embedded in Chapter 3 (Table 3.3 context). A step-by-step flowchart with decision diamonds showing the CarenR pipeline: initialise beam, iterate, evaluate with KS test, prune beam, and return rules.</w:t>
      </w:r>
    </w:p>
    <w:p>
      <w:pPr>
        <w:spacing w:after="80" w:before="80"/>
      </w:pPr>
      <w:r>
        <w:rPr>
          <w:b/>
          <w:bCs/>
        </w:rPr>
        <w:t xml:space="preserve">Figure 4 — CarenR variant taxonomy (fig_carenr_variants.png): </w:t>
      </w:r>
      <w:r>
        <w:t xml:space="preserve">Embedded in Chapter 3 (Table 3.3 context). A grid diagram presenting the 11 CarenR variants along two axes (rule-learner x scoring strategy), including the Eta2 and three-way-tie variants identified as best performers.</w:t>
      </w:r>
    </w:p>
    <w:p>
      <w:pPr>
        <w:spacing w:after="80" w:before="80"/>
      </w:pPr>
      <w:r>
        <w:rPr>
          <w:b/>
          <w:bCs/>
        </w:rPr>
        <w:t xml:space="preserve">Figure 5 — Two-decision decomposition (fig_two_decision.png): </w:t>
      </w:r>
      <w:r>
        <w:t xml:space="preserve">Embedded in Chapter 3 (evaluation section). A two-panel diagram using real RDD data showing Decision 1 (trend quality via Naive_Median MAE vs LOESS baseline = 289.6 mhl) and Decision 2 (climate signal via model-vs-baseline MAE gap).</w:t>
      </w:r>
    </w:p>
    <w:p>
      <w:pPr>
        <w:spacing w:after="80" w:before="80"/>
      </w:pPr>
      <w:r>
        <w:rPr>
          <w:b/>
          <w:bCs/>
        </w:rPr>
        <w:t xml:space="preserve">Figure 6 — Wine production cycle (literature review): </w:t>
      </w:r>
      <w:r>
        <w:t xml:space="preserve">A circular diagram illustrating the seasonal vine growth and winemaking stages, embedded in Chapter 2.</w:t>
      </w:r>
    </w:p>
    <w:p>
      <w:pPr>
        <w:spacing w:after="80" w:before="80"/>
      </w:pPr>
      <w:r>
        <w:t xml:space="preserve"/>
      </w:r>
    </w:p>
    <w:p>
      <w:pPr>
        <w:pStyle w:val="Heading2"/>
        <w:spacing w:after="100" w:before="200"/>
      </w:pPr>
      <w:r>
        <w:rPr>
          <w:b/>
          <w:bCs/>
        </w:rPr>
        <w:t xml:space="preserve">3.6 Formal Mathematical Definitions</w:t>
      </w:r>
    </w:p>
    <w:p>
      <w:pPr>
        <w:spacing w:after="80" w:before="80"/>
      </w:pPr>
      <w:r>
        <w:t xml:space="preserve">The formal mathematical definitions in Chapter 3 were drafted by AI and verified by the student against the primary sources (the CarenR paper and src/rscripts/6_scenario_validation.R). The following definitions were included:</w:t>
      </w:r>
    </w:p>
    <w:p>
      <w:pPr>
        <w:spacing w:after="80" w:before="80"/>
      </w:pPr>
      <w:r>
        <w:rPr>
          <w:b/>
          <w:bCs/>
        </w:rPr>
        <w:t xml:space="preserve">Definition 3.1 — CarenR subgroup discovery problem statement: </w:t>
      </w:r>
      <w:r>
        <w:t xml:space="preserve">Formal definition of a subgroup as a conjunction of attribute-value pairs over a target variable distribution, with the KS test as the interestingness measure. Drafted by AI based on the CarenR paper and adapted to the wine production context.</w:t>
      </w:r>
    </w:p>
    <w:p>
      <w:pPr>
        <w:spacing w:after="80" w:before="80"/>
      </w:pPr>
      <w:r>
        <w:rPr>
          <w:b/>
          <w:bCs/>
        </w:rPr>
        <w:t xml:space="preserve">SUP prediction formula: </w:t>
      </w:r>
      <w:r>
        <w:t xml:space="preserve">Support-weighted mean prediction r_hat = SUM_j supp(I_j)*p(I_j) / SUM_j supp(I_j), where supp(I_j) = n_match / nrow(train_data). Verified directly against strategy "C" in 6_scenario_validation.R.</w:t>
      </w:r>
    </w:p>
    <w:p>
      <w:pPr>
        <w:spacing w:after="80" w:before="80"/>
      </w:pPr>
      <w:r>
        <w:rPr>
          <w:b/>
          <w:bCs/>
        </w:rPr>
        <w:t xml:space="preserve">CONF prediction formula: </w:t>
      </w:r>
      <w:r>
        <w:t xml:space="preserve">KS-confidence-weighted prediction using w(I) = -log(p-value_KS(I)) as weights, verified against strategy "D" in 6_scenario_validation.R. Both strategies fall back to the training median when no rules match the test instance.</w:t>
      </w:r>
    </w:p>
    <w:p>
      <w:pPr>
        <w:spacing w:after="80" w:before="80"/>
      </w:pPr>
      <w:r>
        <w:rPr>
          <w:b/>
          <w:bCs/>
        </w:rPr>
        <w:t xml:space="preserve">RIPPER FOIL information gain: </w:t>
      </w:r>
      <w:r>
        <w:t xml:space="preserve">FOIL_Gain = p_1 * (log2(p_1/(p_1+n_1)) - log2(p_0/(p_0+n_0))), where p and n are positive and negative example counts before/after adding a literal. Drafted by AI and cross-checked with the RIPPER algorithm literature.</w:t>
      </w:r>
    </w:p>
    <w:p>
      <w:pPr>
        <w:spacing w:after="80" w:before="80"/>
      </w:pPr>
      <w:r>
        <w:rPr>
          <w:b/>
          <w:bCs/>
        </w:rPr>
        <w:t xml:space="preserve">M5Rules SDR (Standard Deviation Reduction): </w:t>
      </w:r>
      <w:r>
        <w:t xml:space="preserve">SDR = sd(T) - SUM_i |T_i|/|T| * sd(T_i), measuring the reduction in target standard deviation after a split. Drafted by AI based on the M5 decision tree literature.</w:t>
      </w:r>
    </w:p>
    <w:p>
      <w:pPr>
        <w:spacing w:after="80" w:before="80"/>
      </w:pPr>
      <w:r>
        <w:t xml:space="preserve"/>
      </w:r>
    </w:p>
    <w:p>
      <w:pPr>
        <w:pStyle w:val="Heading2"/>
        <w:spacing w:after="100" w:before="200"/>
      </w:pPr>
      <w:r>
        <w:rPr>
          <w:b/>
          <w:bCs/>
        </w:rPr>
        <w:t xml:space="preserve">3.7 Additional Corrections</w:t>
      </w:r>
    </w:p>
    <w:p>
      <w:pPr>
        <w:spacing w:after="80" w:before="80"/>
      </w:pPr>
      <w:r>
        <w:t xml:space="preserve">AI assistance was also used to draft or correct content across several other files: rule table entries in Chapter 4 (12_chapter4_v4.docx), per-scenario expansion text in Chapter 5 (16_chapter5_expand.docx), discussion expansion in Chapter 6 (18_chapter6_expand.docx), minor phrasing in the conclusions (19_chapter7_v3.docx), and formatting or consistency corrections in the figures list, Appendices A, C, and D. All changes were reviewed by the student.</w:t>
      </w:r>
    </w:p>
    <w:p>
      <w:pPr>
        <w:spacing w:after="80" w:before="80"/>
      </w:pPr>
      <w:r>
        <w:t xml:space="preserve"/>
      </w:r>
    </w:p>
    <w:p>
      <w:pPr>
        <w:spacing w:after="80" w:before="80"/>
      </w:pPr>
      <w:r>
        <w:t xml:space="preserve"/>
      </w:r>
    </w:p>
    <w:p>
      <w:pPr>
        <w:pStyle w:val="Heading1"/>
        <w:spacing w:after="100" w:before="200"/>
      </w:pPr>
      <w:r>
        <w:rPr>
          <w:b/>
          <w:bCs/>
        </w:rPr>
        <w:t xml:space="preserve">4. Code Generation</w:t>
      </w:r>
    </w:p>
    <w:p>
      <w:pPr>
        <w:spacing w:after="80" w:before="80"/>
      </w:pPr>
      <w:r>
        <w:t xml:space="preserve">AI was used to generate three types of code: (1) modifications to existing R pipeline scripts, (2) a new R verification script, and (3) Python/matplotlib scripts to produce the six technical diagrams documented in Section 3.5. All code was reviewed and tested by the student. The student is able to explain the logic of all generated code.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rPr>
          <w:tblHeader/>
        </w:trPr>
        <w:tc>
          <w:tcPr>
            <w:tcW w:type="dxa" w:w="25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File</w:t>
            </w:r>
          </w:p>
        </w:tc>
        <w:tc>
          <w:tcPr>
            <w:tcW w:type="dxa" w:w="18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Type</w:t>
            </w:r>
          </w:p>
        </w:tc>
        <w:tc>
          <w:tcPr>
            <w:tcW w:type="dxa" w:w="472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src/rscripts/6_scenario_validation.R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Modification</w:t>
            </w:r>
          </w:p>
        </w:tc>
        <w:tc>
          <w:tcPr>
            <w:tcW w:type="dxa" w:w="47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Added CLI argument parsing (RDD/RVV region flag) and modified learning curve plot section to apply thicker lines to Naive_Median and best CarenR variant</w:t>
            </w:r>
          </w:p>
        </w:tc>
      </w:tr>
      <w:tr>
        <w:trPr>
          <w:tblHeader w:val="false"/>
        </w:trP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src/rscripts/10_rule_overlap_analysis.R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New script</w:t>
            </w:r>
          </w:p>
        </w:tc>
        <w:tc>
          <w:tcPr>
            <w:tcW w:type="dxa" w:w="47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New R script computing pairwise feature overlap, distinct feature combinations, and condition-subset statistics for both regions</w:t>
            </w:r>
          </w:p>
        </w:tc>
      </w:tr>
      <w:tr>
        <w:trPr>
          <w:tblHeader w:val="false"/>
        </w:trP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Verification scripts (Python)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New scripts</w:t>
            </w:r>
          </w:p>
        </w:tc>
        <w:tc>
          <w:tcPr>
            <w:tcW w:type="dxa" w:w="47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Python scripts to cross-verify all numerical claims in thesis chapters against data CSVs (scenario_metrics, rules_interpreted). Used to detect and correct errors; not part of submitted codebase.</w:t>
            </w:r>
          </w:p>
        </w:tc>
      </w:tr>
    </w:tbl>
    <w:p>
      <w:pPr>
        <w:spacing w:after="80" w:before="80"/>
      </w:pPr>
      <w:r>
        <w:t xml:space="preserve"/>
      </w:r>
    </w:p>
    <w:p>
      <w:pPr>
        <w:spacing w:after="80" w:before="80"/>
      </w:pPr>
      <w:r>
        <w:t xml:space="preserve">Representative prompts for code generation:</w:t>
      </w:r>
    </w:p>
    <w:p>
      <w:pPr>
        <w:spacing w:after="80" w:before="80"/>
      </w:pPr>
      <w:r>
        <w:t xml:space="preserve">•  "I have an idea / Give some extra thickness to the naive baseline and the best caren for each plot" — resulted in linewidth aesthetic mapping in ggplot2</w:t>
      </w:r>
    </w:p>
    <w:p>
      <w:pPr>
        <w:spacing w:after="80" w:before="80"/>
      </w:pPr>
      <w:r>
        <w:t xml:space="preserve">•  "go through the full pages on every chapter and see if we have all the scripts available and once we have them execute it and check if the numbers match" — resulted in comprehensive Python verification script</w:t>
      </w:r>
    </w:p>
    <w:p>
      <w:pPr>
        <w:spacing w:after="80" w:before="80"/>
      </w:pPr>
      <w:r>
        <w:t xml:space="preserve"/>
      </w:r>
    </w:p>
    <w:p>
      <w:pPr>
        <w:pStyle w:val="Heading1"/>
        <w:spacing w:after="100" w:before="200"/>
      </w:pPr>
      <w:r>
        <w:rPr>
          <w:b/>
          <w:bCs/>
        </w:rPr>
        <w:t xml:space="preserve">5. Numerical Verification Process</w:t>
      </w:r>
    </w:p>
    <w:p>
      <w:pPr>
        <w:spacing w:after="80" w:before="80"/>
      </w:pPr>
      <w:r>
        <w:t xml:space="preserve">A complete numerical verification pass was conducted across all chapter files. Verification scripts were run to recompute all key statistics (weighted MAE, Wilcoxon tests, overlap statistics, rule counts, direction counts, support thresholds) and compare them against the values written in the thesis text.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rPr>
          <w:tblHeader/>
        </w:trPr>
        <w:tc>
          <w:tcPr>
            <w:tcW w:type="dxa" w:w="22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Location</w:t>
            </w:r>
          </w:p>
        </w:tc>
        <w:tc>
          <w:tcPr>
            <w:tcW w:type="dxa" w:w="16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Original</w:t>
            </w:r>
          </w:p>
        </w:tc>
        <w:tc>
          <w:tcPr>
            <w:tcW w:type="dxa" w:w="16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Corrected</w:t>
            </w:r>
          </w:p>
        </w:tc>
        <w:tc>
          <w:tcPr>
            <w:tcW w:type="dxa" w:w="362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Source</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3 — CarenR_Dist_Thresh threshold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 ≥ 0.20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 ≥ 0.30</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Code: carenr_cor_thresh = 0.30</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4 — support filter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≥15% of obs.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≥20% of obs.</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Code: carenr_min_sup = 0.20</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4 — RDD direction count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46/48 above-trend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31/48 above-trend</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rules_interpreted_rdd.csv</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4 — RVV direction count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19/20 below-trend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16/20 below-trend</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rules_interpreted_rvv.csv</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4 — RIPPER RVV accuracy</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35%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27.5%</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ripper_metrics_rvv.csv</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4 — RIPPER kappa range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κ = 0.06–0.19</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κ = 0.13 (RDD), −0.09 (RVV)</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ripper_rules_rdd/rvv.txt</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5/6 — support threshold refs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≥15% support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≥20% support</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Code: carenr_min_sup = 0.20</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Appendix A — RVV direction count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19/1 split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16/4 split</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rules_interpreted_rvv.csv</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Appendix C — feature count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59 features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58 features</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dataPrep_cont_dataset_rdd.csv</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19/appendices — LAI in RVV</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LAI in all 20 rules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LAI in 4/20 rules</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rules_interpreted_rvv.csv</w:t>
            </w:r>
          </w:p>
        </w:tc>
      </w:tr>
    </w:tbl>
    <w:p>
      <w:pPr>
        <w:spacing w:after="80" w:before="80"/>
      </w:pPr>
      <w:r>
        <w:t xml:space="preserve"/>
      </w:r>
    </w:p>
    <w:p>
      <w:pPr>
        <w:spacing w:after="80" w:before="80"/>
      </w:pPr>
      <w:r>
        <w:t xml:space="preserve">Claims verified as correct: rule counts (48/20), weighted MAEs (189.2/171.6/184/140 mhl), Wilcoxon tests (W=68 p=0.468; W=0 p=0.004), binomial test (5/5, p=0.031), pairwise overlap (730/1128 = 64.7%; 95/190 = 50.0%), distinct feature combinations (44/48; 20/20), feature-subset rules (28/48; 5/20), M5Rules rule counts (2/3), RIPPER RDD accuracy (42%), LOESS MAEs (~90 mhl RVV; ~290 mhl RDD), era-composition threshold (~29%).</w:t>
      </w:r>
    </w:p>
    <w:p>
      <w:pPr>
        <w:spacing w:after="80" w:before="80"/>
      </w:pPr>
      <w:r>
        <w:t xml:space="preserve"/>
      </w:r>
    </w:p>
    <w:p>
      <w:pPr>
        <w:pStyle w:val="Heading1"/>
        <w:spacing w:after="100" w:before="200"/>
      </w:pPr>
      <w:r>
        <w:rPr>
          <w:b/>
          <w:bCs/>
        </w:rPr>
        <w:t xml:space="preserve">6. Student Responsibility Declaration</w:t>
      </w:r>
    </w:p>
    <w:p>
      <w:pPr>
        <w:spacing w:after="80" w:before="80"/>
      </w:pPr>
      <w:r>
        <w:t xml:space="preserve">The student affirms that:</w:t>
      </w:r>
    </w:p>
    <w:p>
      <w:pPr>
        <w:spacing w:after="80" w:before="80"/>
      </w:pPr>
      <w:r>
        <w:t xml:space="preserve">•  All research activities (data preparation, feature engineering, model execution, statistical analysis) were conducted independently without AI assistance.</w:t>
      </w:r>
    </w:p>
    <w:p>
      <w:pPr>
        <w:spacing w:after="80" w:before="80"/>
      </w:pPr>
      <w:r>
        <w:t xml:space="preserve">•  All AI-generated or AI-revised content was critically reviewed and validated against primary sources before inclusion.</w:t>
      </w:r>
    </w:p>
    <w:p>
      <w:pPr>
        <w:spacing w:after="80" w:before="80"/>
      </w:pPr>
      <w:r>
        <w:t xml:space="preserve">•  The numerical verification process demonstrates active critical engagement: errors introduced earlier in the writing process (including AI-generated errors) were identified and corrected.</w:t>
      </w:r>
    </w:p>
    <w:p>
      <w:pPr>
        <w:spacing w:after="80" w:before="80"/>
      </w:pPr>
      <w:r>
        <w:t xml:space="preserve">•  The student understands and is able to explain all content in this dissertation, including all sections revised with AI assistance.</w:t>
      </w:r>
    </w:p>
    <w:p>
      <w:pPr>
        <w:spacing w:after="80" w:before="80"/>
      </w:pPr>
      <w:r>
        <w:t xml:space="preserve"/>
      </w:r>
    </w:p>
    <w:p>
      <w:pPr>
        <w:spacing w:after="80" w:before="80"/>
      </w:pPr>
      <w:r>
        <w:t xml:space="preserve">Hugo Nogueira,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outlineLvl w:val="0"/>
    </w:pPr>
    <w:rPr>
      <w:rFonts w:ascii="Arial" w:cs="Arial" w:eastAsia="Arial" w:hAnsi="Arial"/>
      <w:b/>
      <w:bCs/>
      <w:color w:val="2E4057"/>
      <w:sz w:val="28"/>
      <w:szCs w:val="28"/>
    </w:rPr>
  </w:style>
  <w:style w:type="paragraph" w:styleId="Heading2">
    <w:name w:val="Heading 2"/>
    <w:basedOn w:val="Normal"/>
    <w:next w:val="Normal"/>
    <w:pPr>
      <w:spacing w:after="100" w:before="2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2026-06-09T12:01:38.451Z</dcterms:created>
  <dcterms:modified xsi:type="dcterms:W3CDTF">2026-06-09T12:01:38.455Z</dcterms:modified>
</cp:coreProperties>
</file>

<file path=docProps/custom.xml><?xml version="1.0" encoding="utf-8"?>
<Properties xmlns="http://schemas.openxmlformats.org/officeDocument/2006/custom-properties" xmlns:vt="http://schemas.openxmlformats.org/officeDocument/2006/docPropsVTypes"/>
</file>