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Nuestro GDD de Monkey Ron</w:t>
      </w:r>
    </w:p>
    <w:p>
      <w:pPr>
        <w:pStyle w:val="Subtitle"/>
      </w:pPr>
      <w:r>
        <w:t>Aventura en la escuela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760000" cy="1881600"/>
            <wp:docPr id="1" name="Picture 1" descr="Ron y el título del menú de nuestro jueg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nt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8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Ron y el título del menú de nuestro juego.</w:t>
      </w:r>
    </w:p>
    <w:p>
      <w:r>
        <w:t>En este documento contamos la idea de Monkey Ron, sus reglas y lo que nos falta revisar para la exposición. También lo vamos a usar para repartir el trabajo y anotar los cambios del equipo.</w:t>
      </w:r>
    </w:p>
    <w:p>
      <w:r>
        <w:t>GDD significa documento de diseño del videojuego. Nos ayuda a que todos tengamos a mano la misma información sobre el proyecto.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81"/>
        <w:gridCol w:w="7257"/>
      </w:tblGrid>
      <w:tr>
        <w:trPr>
          <w:tblHeader/>
          <w:cantSplit/>
        </w:trPr>
        <w:tc>
          <w:tcPr>
            <w:tcW w:type="dxa" w:w="2381"/>
            <w:vAlign w:val="center"/>
            <w:shd w:fill="34343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Nuestro proyecto</w:t>
            </w:r>
          </w:p>
        </w:tc>
        <w:tc>
          <w:tcPr>
            <w:tcW w:type="dxa" w:w="7257"/>
            <w:vAlign w:val="center"/>
            <w:shd w:fill="34343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Datos del grupo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Juego</w:t>
            </w:r>
          </w:p>
        </w:tc>
        <w:tc>
          <w:tcPr>
            <w:tcW w:type="dxa" w:w="725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Monkey Ron Aventura en la escuela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Equipo</w:t>
            </w:r>
          </w:p>
        </w:tc>
        <w:tc>
          <w:tcPr>
            <w:tcW w:type="dxa" w:w="7257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Monkey Games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Integrantes y curso</w:t>
            </w:r>
          </w:p>
        </w:tc>
        <w:tc>
          <w:tcPr>
            <w:tcW w:type="dxa" w:w="725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Completar con los nombres y el curso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Taller</w:t>
            </w:r>
          </w:p>
        </w:tc>
        <w:tc>
          <w:tcPr>
            <w:tcW w:type="dxa" w:w="7257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Videojuegos 2026 · Centro Educativo Privado Centenario Las Palmeras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Documento</w:t>
            </w:r>
          </w:p>
        </w:tc>
        <w:tc>
          <w:tcPr>
            <w:tcW w:type="dxa" w:w="725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Versión 1.1 · 17 de octubre de 2026</w:t>
            </w:r>
          </w:p>
        </w:tc>
      </w:tr>
    </w:tbl>
    <w:p>
      <w:pPr>
        <w:spacing w:after="0"/>
      </w:pPr>
    </w:p>
    <w:p>
      <w:pPr>
        <w:pStyle w:val="Heading2"/>
      </w:pPr>
      <w:r>
        <w:t>Para qué nos sirve</w:t>
      </w:r>
    </w:p>
    <w:p>
      <w:r>
        <w:t>Para explicar cómo se juega, recordar qué debe pasar en cada pantalla y saber quién se encarga de cada parte. Si cambiamos una regla, también tendremos que actualizar el manual y la guía.</w:t>
      </w:r>
    </w:p>
    <w:p>
      <w:r>
        <w:t>Esta versión toma como referencia Monkey Ron demo v5. Lo que aparece en los archivos todavía necesita comprobarse jugando en Construct 2; dejamos esas pruebas al final del documento.</w:t>
      </w:r>
    </w:p>
    <w:p>
      <w:r>
        <w:br w:type="page"/>
      </w:r>
    </w:p>
    <w:p>
      <w:pPr>
        <w:pStyle w:val="Heading1"/>
      </w:pPr>
      <w:r>
        <w:t>1 La idea y los controles</w:t>
      </w:r>
    </w:p>
    <w:p>
      <w:r>
        <w:t>Monkey Ron es un juego de plataformas para una persona. Ron recorre una escuela, salta entre superficies, puede recoger monedas y tiene que alcanzar la bandera META antes de quedarse sin tiempo o sin vidas.</w:t>
      </w:r>
    </w:p>
    <w:p>
      <w:r>
        <w:t>Buscamos que el objetivo se entienda rápido. El jugador debe poder empezar con una explicación corta, aunque después necesite varios intentos para conocer el recorrido y calcular los saltos.</w:t>
      </w:r>
    </w:p>
    <w:p>
      <w:pPr>
        <w:pStyle w:val="Heading2"/>
      </w:pPr>
      <w:r>
        <w:t>Qué hace el jugador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819"/>
        <w:gridCol w:w="4819"/>
      </w:tblGrid>
      <w:tr>
        <w:trPr>
          <w:tblHeader/>
          <w:cantSplit/>
        </w:trPr>
        <w:tc>
          <w:tcPr>
            <w:tcW w:type="dxa" w:w="4819"/>
            <w:vAlign w:val="center"/>
            <w:shd w:fill="34343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Para hacer esto</w:t>
            </w:r>
          </w:p>
        </w:tc>
        <w:tc>
          <w:tcPr>
            <w:tcW w:type="dxa" w:w="4819"/>
            <w:vAlign w:val="center"/>
            <w:shd w:fill="34343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Usamos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Mover a Ron hacia la izquierda</w:t>
            </w:r>
          </w:p>
        </w:tc>
        <w:tc>
          <w:tcPr>
            <w:tcW w:type="dxa" w:w="481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Flecha izquierda.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Mover a Ron hacia la derecha</w:t>
            </w:r>
          </w:p>
        </w:tc>
        <w:tc>
          <w:tcPr>
            <w:tcW w:type="dxa" w:w="4819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Flecha derecha.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Saltar</w:t>
            </w:r>
          </w:p>
        </w:tc>
        <w:tc>
          <w:tcPr>
            <w:tcW w:type="dxa" w:w="481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Flecha arriba.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Pausar o seguir la partida</w:t>
            </w:r>
          </w:p>
        </w:tc>
        <w:tc>
          <w:tcPr>
            <w:tcW w:type="dxa" w:w="4819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Esc o el botón PAUSA del juego.</w:t>
            </w:r>
          </w:p>
        </w:tc>
      </w:tr>
      <w:tr>
        <w:trPr>
          <w:cantSplit/>
        </w:trPr>
        <w:tc>
          <w:tcPr>
            <w:tcW w:type="dxa" w:w="481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Elegir una opción del menú</w:t>
            </w:r>
          </w:p>
        </w:tc>
        <w:tc>
          <w:tcPr>
            <w:tcW w:type="dxa" w:w="481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Clic izquierdo del ratón.</w:t>
            </w:r>
          </w:p>
        </w:tc>
      </w:tr>
    </w:tbl>
    <w:p>
      <w:pPr>
        <w:spacing w:after="0"/>
      </w:pPr>
    </w:p>
    <w:p>
      <w:pPr>
        <w:pStyle w:val="Heading2"/>
      </w:pPr>
      <w:r>
        <w:t>La acción que se repite</w:t>
      </w:r>
    </w:p>
    <w:p>
      <w:r>
        <w:t>Mirar el siguiente apoyo, avanzar y saltar. Durante el recorrido hay que esquivar peligros y hechizos, saltar encima de los exámenes y decidir si vale la pena desviarse por una moneda. La pantalla acompaña a Ron para que se vea la parte del camino donde está jugando.</w:t>
      </w:r>
    </w:p>
    <w:p>
      <w:r>
        <w:t>El salto se controla con la flecha arriba: el jugador elige cuándo despegar. El recorrido tiene límites laterales y Ron se mantiene dentro de ellos.</w:t>
      </w:r>
    </w:p>
    <w:p>
      <w:pPr>
        <w:pStyle w:val="Heading2"/>
      </w:pPr>
      <w:r>
        <w:t>Cómo se gana y cómo se pierde</w:t>
      </w:r>
    </w:p>
    <w:p>
      <w:r>
        <w:t>Para ganar hay que llegar a la bandera META, estando apoyado en el suelo y con tiempo y vidas disponibles. Las monedas ayudan a sumar puntos, pero no son necesarias para terminar.</w:t>
      </w:r>
    </w:p>
    <w:p>
      <w:r>
        <w:t>Si se pierden las tres vidas o se agotan los 120 segundos, aparece la pantalla de derrota. Desde ahí se puede empezar otro intento o volver al menú.</w:t>
      </w:r>
    </w:p>
    <w:p>
      <w:r>
        <w:br w:type="page"/>
      </w:r>
    </w:p>
    <w:p>
      <w:pPr>
        <w:pStyle w:val="Heading1"/>
      </w:pPr>
      <w:r>
        <w:t>2 El recorrido por la escuela</w:t>
      </w:r>
    </w:p>
    <w:p>
      <w:r>
        <w:t>El nivel tiene un recorrido preparado con suelo y plataformas de distintas alturas. El patio escolar es el fondo y las superficies de ladrillo, piedra, tierra y césped muestran dónde se puede caminar o saltar.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2448000"/>
            <wp:docPr id="2" name="Picture 2" descr="Recursos reales del escenario. Esta composición explica sus funciones; no es una captura del recorrido comple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cenar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4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Recursos reales del escenario. Esta composición explica sus funciones; no es una captura del recorrido completo.</w:t>
      </w:r>
    </w:p>
    <w:p>
      <w:pPr>
        <w:pStyle w:val="Heading2"/>
      </w:pPr>
      <w:r>
        <w:t>Peligros del recorrido</w:t>
      </w:r>
    </w:p>
    <w:p>
      <w:r>
        <w:t>El charco está señalado con conos. Tocar su zona de peligro resta una vida. Caer por debajo del recorrido también resta una vida y devuelve a Ron a un lugar seguro.</w:t>
      </w:r>
    </w:p>
    <w:p>
      <w:r>
        <w:t>Hay tres exámenes enemigos que patrullan y lanzan hechizos hacia Ron. El contacto lateral o un hechizo restan una vida y empujan a Ron. Saltar encima del examen mientras caemos lo aplasta y suma 300 puntos. Tras el daño hay una protección breve; falta probar estos encuentros jugando.</w:t>
      </w:r>
    </w:p>
    <w:p>
      <w:pPr>
        <w:pStyle w:val="Heading2"/>
      </w:pPr>
      <w:r>
        <w:t>El punto de control</w:t>
      </w:r>
    </w:p>
    <w:p>
      <w:r>
        <w:t>En una zona intermedia del nivel hay un punto de control. Se activa al pasar por ella estando en el suelo y aparece un aviso. Si después toca el charco o cae fuera del nivel, Ron reaparece allí en lugar de volver al inicio.</w:t>
      </w:r>
    </w:p>
    <w:p>
      <w:r>
        <w:t>Reaparecer no devuelve el reloj a 120 segundos. Por eso conviene seguir avanzando y no quedarse demasiado tiempo en una misma parte.</w:t>
      </w:r>
    </w:p>
    <w:p>
      <w:pPr>
        <w:pStyle w:val="Heading2"/>
      </w:pPr>
      <w:r>
        <w:t>La bandera del final</w:t>
      </w:r>
    </w:p>
    <w:p>
      <w:r>
        <w:t>META marca el objetivo del recorrido. Tenemos que probar la llegada y también el regreso desde el resultado para asegurarnos de que otra partida empiece bien.</w:t>
      </w:r>
    </w:p>
    <w:p>
      <w:r>
        <w:br w:type="page"/>
      </w:r>
    </w:p>
    <w:p>
      <w:pPr>
        <w:pStyle w:val="Heading1"/>
      </w:pPr>
      <w:r>
        <w:t>3 Vidas monedas y puntos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550400"/>
            <wp:docPr id="3" name="Picture 3" descr="Los corazones muestran las vidas y las monedas suman puntos. El reloj limita la duración del intent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das_moneda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5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Los corazones muestran las vidas y las monedas suman puntos. El reloj limita la duración del intento.</w:t>
      </w:r>
    </w:p>
    <w:p>
      <w:pPr>
        <w:pStyle w:val="Heading2"/>
      </w:pPr>
      <w:r>
        <w:t>Cuidar las vidas y el tiempo</w:t>
      </w:r>
    </w:p>
    <w:p>
      <w:r>
        <w:t>Cada partida empieza con tres vidas y 120 segundos. El daño resta una vida y el reloj sigue corriendo durante el juego. En pausa y en la ayuda, el reloj se detiene.</w:t>
      </w:r>
    </w:p>
    <w:p>
      <w:pPr>
        <w:pStyle w:val="Heading2"/>
      </w:pPr>
      <w:r>
        <w:t>Recoger monedas es opcional</w:t>
      </w:r>
    </w:p>
    <w:p>
      <w:r>
        <w:t>Hay siete monedas. Cada una suma 100 puntos y desaparece al recogerla para que no se pueda contar dos veces. Se puede llegar a META sin recogerlas todas.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5669"/>
        <w:gridCol w:w="3969"/>
      </w:tblGrid>
      <w:tr>
        <w:trPr>
          <w:tblHeader/>
          <w:cantSplit/>
        </w:trPr>
        <w:tc>
          <w:tcPr>
            <w:tcW w:type="dxa" w:w="5669"/>
            <w:vAlign w:val="center"/>
            <w:shd w:fill="34343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Situación</w:t>
            </w:r>
          </w:p>
        </w:tc>
        <w:tc>
          <w:tcPr>
            <w:tcW w:type="dxa" w:w="3969"/>
            <w:vAlign w:val="center"/>
            <w:shd w:fill="34343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Puntos que suma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Recoger una moneda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100 puntos.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Aplastar un examen saltando encima</w:t>
            </w:r>
          </w:p>
        </w:tc>
        <w:tc>
          <w:tcPr>
            <w:tcW w:type="dxa" w:w="3969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300 puntos.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Ganar con diez segundos enteros de sobra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50 puntos extra por el tiempo.</w:t>
            </w:r>
          </w:p>
        </w:tc>
      </w:tr>
      <w:tr>
        <w:trPr>
          <w:cantSplit/>
        </w:trPr>
        <w:tc>
          <w:tcPr>
            <w:tcW w:type="dxa" w:w="5669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Recoger las siete monedas</w:t>
            </w:r>
          </w:p>
        </w:tc>
        <w:tc>
          <w:tcPr>
            <w:tcW w:type="dxa" w:w="3969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700 puntos por monedas, más el bonus si se gana.</w:t>
            </w:r>
          </w:p>
        </w:tc>
      </w:tr>
    </w:tbl>
    <w:p>
      <w:pPr>
        <w:spacing w:after="0"/>
      </w:pPr>
    </w:p>
    <w:p>
      <w:r>
        <w:t>El bonus se calcula al ganar: cinco puntos por cada segundo entero que quede. Por ejemplo, diez segundos enteros suman cincuenta puntos. El tiempo que aparece en pantalla puede estar redondeado hacia arriba; el bonus usa solo los segundos completos.</w:t>
      </w:r>
    </w:p>
    <w:p>
      <w:pPr>
        <w:pStyle w:val="Heading2"/>
      </w:pPr>
      <w:r>
        <w:t>Qué queremos revisar con otros jugadores</w:t>
      </w:r>
    </w:p>
    <w:p>
      <w:r>
        <w:t>Si el tiempo alcanza para aprender el recorrido, si las monedas se ven bien y si el jugador entiende qué le hizo perder una vida. Con esas pruebas podremos decidir si hace falta ajustar alguna parte.</w:t>
      </w:r>
    </w:p>
    <w:p>
      <w:r>
        <w:br w:type="page"/>
      </w:r>
    </w:p>
    <w:p>
      <w:pPr>
        <w:pStyle w:val="Heading1"/>
      </w:pPr>
      <w:r>
        <w:t>4 Ron y el aspecto del juego</w:t>
      </w:r>
    </w:p>
    <w:p>
      <w:r>
        <w:t>En el menú aparece una ilustración de Ron. En la partida usamos tres poses para mostrarlo quieto, corriendo y saltando. Cada estado tiene una sola imagen; todavía no hay una secuencia completa de carrera.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940000" cy="2336400"/>
            <wp:docPr id="4" name="Picture 4" descr="Las tres poses actuales de Ron durante la partida. Son dibujos de estados, no una animación complet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s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33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Las tres poses actuales de Ron durante la partida. Son dibujos de estados, no una animación completa.</w:t>
      </w:r>
    </w:p>
    <w:p>
      <w:pPr>
        <w:pStyle w:val="Heading2"/>
      </w:pPr>
      <w:r>
        <w:t>Que el dibujo acompañe al movimiento</w:t>
      </w:r>
    </w:p>
    <w:p>
      <w:r>
        <w:t>Una parte del personaje controla los saltos y los choques, y otra muestra a Ron. Las dos deben acompañarse para que sus pies se vean sobre el suelo y las plataformas.</w:t>
      </w:r>
    </w:p>
    <w:p>
      <w:r>
        <w:t>Si cambiamos una pose, tenemos que revisar que Ron no parezca flotar ni moverse de golpe. Cambiar el dibujo no debería cambiar la altura del salto ni la dificultad.</w:t>
      </w:r>
    </w:p>
    <w:p>
      <w:pPr>
        <w:pStyle w:val="Heading2"/>
      </w:pPr>
      <w:r>
        <w:t>Colores y recursos</w:t>
      </w:r>
    </w:p>
    <w:p>
      <w:r>
        <w:t>El menú y los botones usan verde, madera y detalles dorados. El fondo recuerda al patio de una escuela. Las monedas, los corazones y la bandera deben reconocerse rápido mientras se juega.</w:t>
      </w:r>
    </w:p>
    <w:p>
      <w:r>
        <w:t>El inventario de Excel reúne las imágenes y los seis sonidos, con sus nombres y una explicación. Los dibujos repetidos se agrupan para no contar varias veces el mismo recurso. Los stickers y los avatares del manual se guardan aparte porque son para la exposición.</w:t>
      </w:r>
    </w:p>
    <w:p>
      <w:r>
        <w:br w:type="page"/>
      </w:r>
    </w:p>
    <w:p>
      <w:pPr>
        <w:pStyle w:val="Heading1"/>
      </w:pPr>
      <w:r>
        <w:t>5 Las pantallas y los sonidos</w:t>
      </w:r>
    </w:p>
    <w:p>
      <w:r>
        <w:t>El menú tiene Jugar, Cómo jugar y Créditos. Jugar abre la partida; las otras opciones muestran información y permiten volver al menú.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20000" cy="1509600"/>
            <wp:docPr id="5" name="Picture 5" descr="El panel y la pizarra se reutilizan en varias pantallas. Los textos de los botones se añaden por separado en Construct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faz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El panel y la pizarra se reutilizan en varias pantallas. Los textos de los botones se añaden por separado en Construct 2.</w:t>
      </w:r>
    </w:p>
    <w:p>
      <w:pPr>
        <w:pStyle w:val="Heading2"/>
      </w:pPr>
      <w:r>
        <w:t>Pausa ayuda y resultado</w:t>
      </w:r>
    </w:p>
    <w:p>
      <w:r>
        <w:t>Esc o PAUSA detienen el juego. Desde la pausa se puede continuar, reiniciar, consultar Cómo jugar o pedir volver al menú. La ayuda vuelve a la pausa. Al pedir salir, una confirmación permite aceptar o cancelar.</w:t>
      </w:r>
    </w:p>
    <w:p>
      <w:r>
        <w:t>El resultado indica si se llegó a META, se perdieron las vidas o se agotó el tiempo. Desde allí se puede volver a jugar o regresar al menú.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1"/>
        <w:gridCol w:w="7087"/>
      </w:tblGrid>
      <w:tr>
        <w:trPr>
          <w:tblHeader/>
          <w:cantSplit/>
        </w:trPr>
        <w:tc>
          <w:tcPr>
            <w:tcW w:type="dxa" w:w="2551"/>
            <w:vAlign w:val="center"/>
            <w:shd w:fill="34343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Sonido</w:t>
            </w:r>
          </w:p>
        </w:tc>
        <w:tc>
          <w:tcPr>
            <w:tcW w:type="dxa" w:w="7087"/>
            <w:vAlign w:val="center"/>
            <w:shd w:fill="34343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Cuándo se usa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Salto y aterrizaje</w:t>
            </w:r>
          </w:p>
        </w:tc>
        <w:tc>
          <w:tcPr>
            <w:tcW w:type="dxa" w:w="708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Cuando Ron salta y aterriza; el de salto también se usa en ataques y al aplastar al examen.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Moneda</w:t>
            </w:r>
          </w:p>
        </w:tc>
        <w:tc>
          <w:tcPr>
            <w:tcW w:type="dxa" w:w="7087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Al recoger una moneda.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Daño</w:t>
            </w:r>
          </w:p>
        </w:tc>
        <w:tc>
          <w:tcPr>
            <w:tcW w:type="dxa" w:w="708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Al perder una vida.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Victoria</w:t>
            </w:r>
          </w:p>
        </w:tc>
        <w:tc>
          <w:tcPr>
            <w:tcW w:type="dxa" w:w="7087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Al alcanzar META con vidas y tiempo.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Derrota</w:t>
            </w:r>
          </w:p>
        </w:tc>
        <w:tc>
          <w:tcPr>
            <w:tcW w:type="dxa" w:w="7087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Al quedarse sin vidas o sin tiempo.</w:t>
            </w:r>
          </w:p>
        </w:tc>
      </w:tr>
    </w:tbl>
    <w:p>
      <w:pPr>
        <w:spacing w:after="0"/>
      </w:pPr>
    </w:p>
    <w:p>
      <w:r>
        <w:t>Nos falta escuchar y probar todo junto para comprobar que los efectos se entiendan y no se repitan de más. También hay que completar los créditos con quién hizo cada recurso o de dónde viene.</w:t>
      </w:r>
    </w:p>
    <w:p>
      <w:r>
        <w:br w:type="page"/>
      </w:r>
    </w:p>
    <w:p>
      <w:pPr>
        <w:pStyle w:val="Heading1"/>
      </w:pPr>
      <w:r>
        <w:t>6 Cómo usamos Construct 2 y Office</w:t>
      </w:r>
    </w:p>
    <w:p>
      <w:pPr>
        <w:pStyle w:val="Heading2"/>
      </w:pPr>
      <w:r>
        <w:t>Construct 2 para armar el juego</w:t>
      </w:r>
    </w:p>
    <w:p>
      <w:r>
        <w:t>Construct 2 es el programa con el que trabajamos el videojuego. Allí se colocan Ron, el escenario, las monedas y los botones. Los eventos indican qué debe pasar cuando el jugador hace algo o toca un objeto.</w:t>
      </w:r>
    </w:p>
    <w:p>
      <w:r>
        <w:t>Por ejemplo, al recoger una moneda se suman cien puntos y la moneda desaparece. Al tocar el charco se resta una vida y Ron reaparece. Al pulsar Continuar se cierra la pausa y el juego sigue. Esas reglas se pueden mostrar directamente en el proyecto durante la exposición.</w:t>
      </w:r>
    </w:p>
    <w:p>
      <w:pPr>
        <w:pStyle w:val="Heading2"/>
      </w:pPr>
      <w:r>
        <w:t>Office para organizar y explicar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701"/>
        <w:gridCol w:w="5102"/>
        <w:gridCol w:w="2835"/>
      </w:tblGrid>
      <w:tr>
        <w:trPr>
          <w:tblHeader/>
          <w:cantSplit/>
        </w:trPr>
        <w:tc>
          <w:tcPr>
            <w:tcW w:type="dxa" w:w="1701"/>
            <w:vAlign w:val="center"/>
            <w:shd w:fill="34343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Programa</w:t>
            </w:r>
          </w:p>
        </w:tc>
        <w:tc>
          <w:tcPr>
            <w:tcW w:type="dxa" w:w="5102"/>
            <w:vAlign w:val="center"/>
            <w:shd w:fill="34343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Para qué nos sirve</w:t>
            </w:r>
          </w:p>
        </w:tc>
        <w:tc>
          <w:tcPr>
            <w:tcW w:type="dxa" w:w="2835"/>
            <w:vAlign w:val="center"/>
            <w:shd w:fill="34343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Qué podemos mostrar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Word</w:t>
            </w:r>
          </w:p>
        </w:tc>
        <w:tc>
          <w:tcPr>
            <w:tcW w:type="dxa" w:w="510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Mantener este GDD, anotar decisiones y llevar la bitácora. Los comentarios sirven para proponer cambios.</w:t>
            </w:r>
          </w:p>
        </w:tc>
        <w:tc>
          <w:tcPr>
            <w:tcW w:type="dxa" w:w="283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Una regla y el cambio que se anotó.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Excel</w:t>
            </w:r>
          </w:p>
        </w:tc>
        <w:tc>
          <w:tcPr>
            <w:tcW w:type="dxa" w:w="5102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Consultar las imágenes, escuchar los sonidos y revisar para qué sirve cada recurso. También podemos preparar una lista de tareas.</w:t>
            </w:r>
          </w:p>
        </w:tc>
        <w:tc>
          <w:tcPr>
            <w:tcW w:type="dxa" w:w="2835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Un asset y su uso en el juego.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PowerPoint</w:t>
            </w:r>
          </w:p>
        </w:tc>
        <w:tc>
          <w:tcPr>
            <w:tcW w:type="dxa" w:w="510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Explicar el objetivo, los controles y las opciones con la guía del juego.</w:t>
            </w:r>
          </w:p>
        </w:tc>
        <w:tc>
          <w:tcPr>
            <w:tcW w:type="dxa" w:w="283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Cómo empezar y llegar a META.</w:t>
            </w:r>
          </w:p>
        </w:tc>
      </w:tr>
    </w:tbl>
    <w:p>
      <w:pPr>
        <w:spacing w:after="0"/>
      </w:pPr>
    </w:p>
    <w:p>
      <w:pPr>
        <w:pStyle w:val="Heading2"/>
      </w:pPr>
      <w:r>
        <w:t>Compartir las versiones</w:t>
      </w:r>
    </w:p>
    <w:p>
      <w:r>
        <w:t>Podemos usar una carpeta compartida y una lista de tareas en el espacio que acuerde el grupo. Todavía hay que elegirlo y organizarlo. La versión actual debe ser fácil de encontrar y las anteriores deben quedar separadas.</w:t>
      </w:r>
    </w:p>
    <w:p>
      <w:r>
        <w:t>Cuando una regla cambia, también hay que revisar el GDD, el manual y la presentación. Cada integrante podrá explicar una parte del proyecto y mostrar el trabajo que le corresponda.</w:t>
      </w:r>
    </w:p>
    <w:p>
      <w:r>
        <w:br w:type="page"/>
      </w:r>
    </w:p>
    <w:p>
      <w:pPr>
        <w:pStyle w:val="Heading1"/>
      </w:pPr>
      <w:r>
        <w:t>7 Cómo nos vamos a organizar</w:t>
      </w:r>
    </w:p>
    <w:p>
      <w:r>
        <w:t>El equipo se llama Monkey Games. Nos falta completar los integrantes y acordar quién se encarga de cada parte. Una persona puede cubrir varias tareas, pero todos necesitamos saber qué falta y quién lo revisa.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551"/>
        <w:gridCol w:w="4819"/>
        <w:gridCol w:w="2268"/>
      </w:tblGrid>
      <w:tr>
        <w:trPr>
          <w:tblHeader/>
          <w:cantSplit/>
        </w:trPr>
        <w:tc>
          <w:tcPr>
            <w:tcW w:type="dxa" w:w="2551"/>
            <w:vAlign w:val="center"/>
            <w:shd w:fill="34343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Parte del trabajo</w:t>
            </w:r>
          </w:p>
        </w:tc>
        <w:tc>
          <w:tcPr>
            <w:tcW w:type="dxa" w:w="4819"/>
            <w:vAlign w:val="center"/>
            <w:shd w:fill="34343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Qué hay que hacer</w:t>
            </w:r>
          </w:p>
        </w:tc>
        <w:tc>
          <w:tcPr>
            <w:tcW w:type="dxa" w:w="2268"/>
            <w:vAlign w:val="center"/>
            <w:shd w:fill="34343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Quién se encarga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Coordinar el grupo</w:t>
            </w:r>
          </w:p>
        </w:tc>
        <w:tc>
          <w:tcPr>
            <w:tcW w:type="dxa" w:w="481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Repartir tareas, acordar fechas y revisar pendientes.</w:t>
            </w:r>
          </w:p>
        </w:tc>
        <w:tc>
          <w:tcPr>
            <w:tcW w:type="dxa" w:w="22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Completar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Juego en Construct 2</w:t>
            </w:r>
          </w:p>
        </w:tc>
        <w:tc>
          <w:tcPr>
            <w:tcW w:type="dxa" w:w="4819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Revisar eventos, guardar los cambios y probar el recorrido.</w:t>
            </w:r>
          </w:p>
        </w:tc>
        <w:tc>
          <w:tcPr>
            <w:tcW w:type="dxa" w:w="2268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Completar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Imágenes y sonidos</w:t>
            </w:r>
          </w:p>
        </w:tc>
        <w:tc>
          <w:tcPr>
            <w:tcW w:type="dxa" w:w="481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Revisar poses, escenario, botones y audio.</w:t>
            </w:r>
          </w:p>
        </w:tc>
        <w:tc>
          <w:tcPr>
            <w:tcW w:type="dxa" w:w="22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Completar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Documentos y exposición</w:t>
            </w:r>
          </w:p>
        </w:tc>
        <w:tc>
          <w:tcPr>
            <w:tcW w:type="dxa" w:w="4819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Actualizar Word, Excel y PowerPoint y preparar la explicación.</w:t>
            </w:r>
          </w:p>
        </w:tc>
        <w:tc>
          <w:tcPr>
            <w:tcW w:type="dxa" w:w="2268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Completar</w:t>
            </w:r>
          </w:p>
        </w:tc>
      </w:tr>
    </w:tbl>
    <w:p>
      <w:pPr>
        <w:spacing w:after="0"/>
      </w:pPr>
    </w:p>
    <w:p>
      <w:pPr>
        <w:pStyle w:val="Heading2"/>
      </w:pPr>
      <w:r>
        <w:t>El próximo trabajo del grupo</w:t>
      </w:r>
    </w:p>
    <w:p>
      <w:r>
        <w:t>Primero repartimos las pruebas pendientes. Después jugamos, anotamos los problemas y revisamos las correcciones. Cuando la demo esté lista, actualizamos los documentos y ensayamos la presentación.</w:t>
      </w:r>
    </w:p>
    <w:p>
      <w:r>
        <w:t>Podemos marcar las tareas como pendientes, en trabajo, para revisar o terminadas. Antes de dar una por terminada, el archivo tiene que estar guardado y otra persona debe poder comprobar el resultado.</w:t>
      </w:r>
    </w:p>
    <w:p>
      <w:pPr>
        <w:pStyle w:val="Heading2"/>
      </w:pPr>
      <w:r>
        <w:t>Nuestra bitácora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68"/>
        <w:gridCol w:w="3969"/>
        <w:gridCol w:w="3402"/>
      </w:tblGrid>
      <w:tr>
        <w:trPr>
          <w:tblHeader/>
          <w:cantSplit/>
        </w:trPr>
        <w:tc>
          <w:tcPr>
            <w:tcW w:type="dxa" w:w="2268"/>
            <w:vAlign w:val="center"/>
            <w:shd w:fill="34343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Fecha y nombre</w:t>
            </w:r>
          </w:p>
        </w:tc>
        <w:tc>
          <w:tcPr>
            <w:tcW w:type="dxa" w:w="3969"/>
            <w:vAlign w:val="center"/>
            <w:shd w:fill="34343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Qué se hizo o se decidió</w:t>
            </w:r>
          </w:p>
        </w:tc>
        <w:tc>
          <w:tcPr>
            <w:tcW w:type="dxa" w:w="3402"/>
            <w:vAlign w:val="center"/>
            <w:shd w:fill="34343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Qué falta o dónde quedó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Completar</w:t>
            </w:r>
          </w:p>
        </w:tc>
        <w:tc>
          <w:tcPr>
            <w:tcW w:type="dxa" w:w="3969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Anotar el cambio de esta sesión.</w:t>
            </w:r>
          </w:p>
        </w:tc>
        <w:tc>
          <w:tcPr>
            <w:tcW w:type="dxa" w:w="3402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Indicar el archivo o el pendiente.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Completar</w:t>
            </w:r>
          </w:p>
        </w:tc>
        <w:tc>
          <w:tcPr>
            <w:tcW w:type="dxa" w:w="3969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Agregar la próxima sesión.</w:t>
            </w:r>
          </w:p>
        </w:tc>
        <w:tc>
          <w:tcPr>
            <w:tcW w:type="dxa" w:w="3402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Completar.</w:t>
            </w:r>
          </w:p>
        </w:tc>
      </w:tr>
    </w:tbl>
    <w:p>
      <w:pPr>
        <w:spacing w:after="0"/>
      </w:pPr>
    </w:p>
    <w:p>
      <w:r>
        <w:t>Al terminar una sesión, anotamos el cambio para no depender de lo que cada uno recuerde. Esta tabla se puede ampliar agregando filas en Word.</w:t>
      </w:r>
    </w:p>
    <w:p>
      <w:r>
        <w:br w:type="page"/>
      </w:r>
    </w:p>
    <w:p>
      <w:pPr>
        <w:pStyle w:val="Heading1"/>
      </w:pPr>
      <w:r>
        <w:t>8 Lo que falta probar y actualizar</w:t>
      </w:r>
    </w:p>
    <w:p>
      <w:r>
        <w:t>Estas pruebas quedan pendientes de completar jugando en Construct 2 y en el equipo de la muestra. Revisar los archivos ayuda a entender las reglas, pero no comprueba por sí solo cómo se juega el recorrido.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835"/>
        <w:gridCol w:w="6803"/>
      </w:tblGrid>
      <w:tr>
        <w:trPr>
          <w:tblHeader/>
          <w:cantSplit/>
        </w:trPr>
        <w:tc>
          <w:tcPr>
            <w:tcW w:type="dxa" w:w="2835"/>
            <w:vAlign w:val="center"/>
            <w:shd w:fill="34343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Qué vamos a probar</w:t>
            </w:r>
          </w:p>
        </w:tc>
        <w:tc>
          <w:tcPr>
            <w:tcW w:type="dxa" w:w="6803"/>
            <w:vAlign w:val="center"/>
            <w:shd w:fill="34343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Qué debería pasar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Menú y controles</w:t>
            </w:r>
          </w:p>
        </w:tc>
        <w:tc>
          <w:tcPr>
            <w:tcW w:type="dxa" w:w="680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Jugar, ayuda, créditos, movimiento y salto responden a las opciones indicadas.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Recorrido y monedas</w:t>
            </w:r>
          </w:p>
        </w:tc>
        <w:tc>
          <w:tcPr>
            <w:tcW w:type="dxa" w:w="6803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Se puede llegar a META; cada moneda suma una sola vez y no hace falta tener las siete.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Daño y punto de control</w:t>
            </w:r>
          </w:p>
        </w:tc>
        <w:tc>
          <w:tcPr>
            <w:tcW w:type="dxa" w:w="680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Charcos y caídas restan vida y llevan al punto seguro. El examen y sus hechizos dañan; saltar encima lo aplasta y suma 300 puntos.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Pausa y ayuda</w:t>
            </w:r>
          </w:p>
        </w:tc>
        <w:tc>
          <w:tcPr>
            <w:tcW w:type="dxa" w:w="6803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Esc y los botones detienen y reanudan correctamente el juego y el reloj.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Confirmación de salida</w:t>
            </w:r>
          </w:p>
        </w:tc>
        <w:tc>
          <w:tcPr>
            <w:tcW w:type="dxa" w:w="680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Cancelar vuelve a la partida o a la pausa anterior; aceptar lleva al menú.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Victoria y derrota</w:t>
            </w:r>
          </w:p>
        </w:tc>
        <w:tc>
          <w:tcPr>
            <w:tcW w:type="dxa" w:w="6803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META activa la victoria; cero vidas o cero tiempo activan la derrota. El bonus se suma una vez.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Un nuevo intento</w:t>
            </w:r>
          </w:p>
        </w:tc>
        <w:tc>
          <w:tcPr>
            <w:tcW w:type="dxa" w:w="6803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Reiniciar y volver a jugar recuperan vidas, tiempo, monedas y puntos iniciales.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Equipo de exposición</w:t>
            </w:r>
          </w:p>
        </w:tc>
        <w:tc>
          <w:tcPr>
            <w:tcW w:type="dxa" w:w="6803"/>
            <w:vAlign w:val="center"/>
            <w:shd w:fill="F5F5F5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La demo, la guía, el GDD y los audios del Excel abren en el equipo que vamos a usar.</w:t>
            </w:r>
          </w:p>
        </w:tc>
      </w:tr>
    </w:tbl>
    <w:p>
      <w:pPr>
        <w:spacing w:after="0"/>
      </w:pPr>
    </w:p>
    <w:p>
      <w:r>
        <w:t>Si algo falla, anotamos qué hicimos, qué esperábamos y qué pasó. Una captura o un vídeo corto ayuda a que otra persona encuentre el mismo problema.</w:t>
      </w:r>
    </w:p>
    <w:p>
      <w:pPr>
        <w:pStyle w:val="Heading2"/>
      </w:pPr>
      <w:r>
        <w:t>Cambios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268"/>
        <w:gridCol w:w="7370"/>
      </w:tblGrid>
      <w:tr>
        <w:trPr>
          <w:tblHeader/>
          <w:cantSplit/>
        </w:trPr>
        <w:tc>
          <w:tcPr>
            <w:tcW w:type="dxa" w:w="2268"/>
            <w:vAlign w:val="center"/>
            <w:shd w:fill="34343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7370"/>
            <w:vAlign w:val="center"/>
            <w:shd w:fill="343434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Qué cambió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1.1 · 17 oct 2026</w:t>
            </w:r>
          </w:p>
        </w:tc>
        <w:tc>
          <w:tcPr>
            <w:tcW w:type="dxa" w:w="7370"/>
            <w:vAlign w:val="center"/>
            <w:shd w:fill="FFFFFF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before="20" w:after="20" w:line="259" w:lineRule="auto"/>
            </w:pPr>
            <w:r>
              <w:rPr>
                <w:b w:val="0"/>
                <w:color w:val="000000"/>
                <w:sz w:val="20"/>
              </w:rPr>
              <w:t>GDD basado en demo v5; incluye exámenes, hechizos y puntos al aplastarlos.</w:t>
            </w:r>
          </w:p>
        </w:tc>
      </w:tr>
    </w:tbl>
    <w:p>
      <w:pPr>
        <w:spacing w:after="0"/>
      </w:pPr>
    </w:p>
    <w:p>
      <w:pPr>
        <w:pStyle w:val="Heading2"/>
      </w:pPr>
      <w:r>
        <w:t>Archivos que acompañan al GDD</w:t>
      </w:r>
    </w:p>
    <w:p>
      <w:r>
        <w:t>Proyecto de referencia: Monkey_Ron_demo_v5.capx, en Entregas/Actuales/Monkey_Ron/Proyecto. El inventario y este GDD están en Gestion/Monkey_Ron. La guía de PowerPoint está en Branding/05_Presentacion/Monkey_Ron.</w:t>
      </w:r>
    </w:p>
    <w:p>
      <w:r>
        <w:t>Cuando cambiemos el juego, guardamos una nueva versión de los documentos y anotamos el motivo. También falta completar los nombres y los créditos reales del equipo.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Proyecto escolar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MONKEY RON   |   MONKEY GAMES   |   NUESTRO GDD 1.1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 w:val="0"/>
      <w:bCs/>
      <w:i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Nuestro GDD de Monkey Ron</dc:title>
  <dc:subject>Diseño del juego y organización del grupo</dc:subject>
  <dc:creator>Monkey Games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