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9C0" w:rsidRPr="00FE3F32" w:rsidRDefault="00E66B1C">
      <w:pPr>
        <w:pStyle w:val="Listenabsatz"/>
        <w:ind w:left="0"/>
        <w:rPr>
          <w:rFonts w:ascii="Arial" w:hAnsi="Arial"/>
        </w:rPr>
      </w:pPr>
      <w:r w:rsidRPr="00FE3F32">
        <w:rPr>
          <w:rFonts w:ascii="Arial" w:hAnsi="Arial"/>
        </w:rPr>
        <w:t>1 Benutzte Bibliotheken</w:t>
      </w:r>
    </w:p>
    <w:p w:rsidR="004519C0" w:rsidRPr="00FE3F32" w:rsidRDefault="004519C0">
      <w:pPr>
        <w:pStyle w:val="Listenabsatz"/>
        <w:ind w:left="0"/>
        <w:rPr>
          <w:rFonts w:ascii="Arial" w:hAnsi="Arial"/>
        </w:rPr>
      </w:pPr>
    </w:p>
    <w:p w:rsidR="004519C0" w:rsidRDefault="00E66B1C">
      <w:pPr>
        <w:pStyle w:val="Listenabsatz"/>
        <w:ind w:left="0"/>
        <w:jc w:val="both"/>
        <w:rPr>
          <w:rFonts w:ascii="Arial" w:hAnsi="Arial"/>
        </w:rPr>
      </w:pPr>
      <w:r w:rsidRPr="00FE3F32">
        <w:rPr>
          <w:rFonts w:ascii="Arial" w:hAnsi="Arial"/>
        </w:rPr>
        <w:t>1.1 CityGML:</w:t>
      </w:r>
      <w:r w:rsidRPr="00FE3F32">
        <w:rPr>
          <w:rFonts w:ascii="Arial" w:hAnsi="Arial"/>
        </w:rPr>
        <w:br/>
      </w:r>
      <w:r w:rsidRPr="00FE3F32">
        <w:rPr>
          <w:rFonts w:ascii="Arial" w:hAnsi="Arial"/>
        </w:rPr>
        <w:br/>
      </w:r>
      <w:r w:rsidRPr="00FE3F32">
        <w:rPr>
          <w:rFonts w:ascii="Arial" w:hAnsi="Arial"/>
        </w:rPr>
        <w:t>CityGML wurde 2002 in NRW in offener Arbeitsgemeinschaft unter Mitarbeit von über 70 Institutionen entwickelt. Es ist ein</w:t>
      </w:r>
      <w:r w:rsidRPr="00FE3F32">
        <w:rPr>
          <w:rFonts w:ascii="Arial" w:hAnsi="Arial"/>
        </w:rPr>
        <w:t xml:space="preserve"> XML-basiertes Datenmodell für die Speicherung von 3D-Stadtmodellen. Es werden relevante Objekte des städtischen Raumes klassifiziert und ihre Eigenschaften beschrieben. Auch ohne Visualisierung lassen sich bereits viele Informationen aus den XML-Daten ext</w:t>
      </w:r>
      <w:r w:rsidRPr="00FE3F32">
        <w:rPr>
          <w:rFonts w:ascii="Arial" w:hAnsi="Arial"/>
        </w:rPr>
        <w:t>rahieren, da verschiedene thematische Attribute wie zum Beispiel die Adresse oder das Baujahr vieler Gebäude mit angegeben sind. Seit 2004 wird CityGML als internationale Standardisierung vorangetrieben und auch zunehmend in der Forschung verwendet. Dies i</w:t>
      </w:r>
      <w:r w:rsidRPr="00FE3F32">
        <w:rPr>
          <w:rFonts w:ascii="Arial" w:hAnsi="Arial"/>
        </w:rPr>
        <w:t>st an der großen Bandbreite an Einrichtungen zu erkennen, die eigene Parser oder Visualisierungen für CityGML anbieten. Das KIT (Karlsruhe), die Universität Bonn, die TU Berlin und viele weitere vermessen Gebäude vieler vorwiegend größerer Städte (zum Beis</w:t>
      </w:r>
      <w:r w:rsidRPr="00FE3F32">
        <w:rPr>
          <w:rFonts w:ascii="Arial" w:hAnsi="Arial"/>
        </w:rPr>
        <w:t>piel Berlin, H</w:t>
      </w:r>
      <w:bookmarkStart w:id="0" w:name="_GoBack"/>
      <w:bookmarkEnd w:id="0"/>
      <w:r w:rsidRPr="00FE3F32">
        <w:rPr>
          <w:rFonts w:ascii="Arial" w:hAnsi="Arial"/>
        </w:rPr>
        <w:t>amburg, Frankfurt, Stuttgart, ...).</w:t>
      </w:r>
      <w:r w:rsidRPr="00FE3F32">
        <w:rPr>
          <w:rFonts w:ascii="Arial" w:hAnsi="Arial"/>
        </w:rPr>
        <w:tab/>
        <w:t>Grundsäztlich finden einige Basisklassen in CityGML verwendung</w:t>
      </w:r>
      <w:r w:rsidRPr="00FE3F32">
        <w:rPr>
          <w:rFonts w:ascii="Arial" w:hAnsi="Arial"/>
          <w:color w:val="000000"/>
        </w:rPr>
        <w:t>: Gebäude, Gelände, Vegetation, Wasserkörper, Straßenmöbel und einige weitere. Für diese Arbeit sind die Gebäude wichtig, andere geographische M</w:t>
      </w:r>
      <w:r w:rsidRPr="00FE3F32">
        <w:rPr>
          <w:rFonts w:ascii="Arial" w:hAnsi="Arial"/>
          <w:color w:val="000000"/>
        </w:rPr>
        <w:t>erkmale finden bisher keine Verwendung. Jede der genannten Basisklassen besitzt wiederrum ein “Level Of Detail” (LOD), also eine Angabe wie detailliert die XML-Daten angegeben wurden. Die Stufen sind am Beispiel von Gebäuden wie folgt zu verstehen:</w:t>
      </w:r>
    </w:p>
    <w:p w:rsidR="004519C0" w:rsidRPr="00FE3F32" w:rsidRDefault="00E66B1C">
      <w:pPr>
        <w:pStyle w:val="Listenabsatz"/>
        <w:ind w:left="0"/>
        <w:rPr>
          <w:rFonts w:ascii="Arial" w:hAnsi="Arial"/>
        </w:rPr>
      </w:pPr>
      <w:r>
        <w:rPr>
          <w:rFonts w:ascii="Arial" w:hAnsi="Arial"/>
          <w:noProof/>
          <w:lang w:eastAsia="de-DE" w:bidi="ar-SA"/>
        </w:rPr>
        <w:drawing>
          <wp:anchor distT="0" distB="0" distL="114300" distR="114300" simplePos="0" relativeHeight="251658240" behindDoc="0" locked="0" layoutInCell="1" allowOverlap="1">
            <wp:simplePos x="0" y="0"/>
            <wp:positionH relativeFrom="column">
              <wp:align>center</wp:align>
            </wp:positionH>
            <wp:positionV relativeFrom="paragraph">
              <wp:posOffset>-57240</wp:posOffset>
            </wp:positionV>
            <wp:extent cx="4471560" cy="2682720"/>
            <wp:effectExtent l="0" t="0" r="5190" b="3330"/>
            <wp:wrapSquare wrapText="bothSides"/>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71560" cy="2682720"/>
                    </a:xfrm>
                    <a:prstGeom prst="rect">
                      <a:avLst/>
                    </a:prstGeom>
                  </pic:spPr>
                </pic:pic>
              </a:graphicData>
            </a:graphic>
          </wp:anchor>
        </w:drawing>
      </w:r>
      <w:r w:rsidRPr="00FE3F32">
        <w:rPr>
          <w:rFonts w:ascii="Arial" w:hAnsi="Arial"/>
        </w:rPr>
        <w:br/>
      </w:r>
      <w:r w:rsidRPr="00FE3F32">
        <w:rPr>
          <w:rFonts w:ascii="Arial" w:hAnsi="Arial"/>
        </w:rPr>
        <w:br/>
      </w:r>
      <w:r w:rsidRPr="00FE3F32">
        <w:rPr>
          <w:rFonts w:ascii="Arial" w:hAnsi="Arial"/>
        </w:rPr>
        <w:br/>
      </w:r>
      <w:r w:rsidRPr="00FE3F32">
        <w:rPr>
          <w:rFonts w:ascii="Arial" w:hAnsi="Arial"/>
        </w:rPr>
        <w:br/>
      </w:r>
    </w:p>
    <w:p w:rsidR="004519C0" w:rsidRDefault="00E66B1C">
      <w:pPr>
        <w:pStyle w:val="Listenabsatz"/>
        <w:ind w:left="0"/>
        <w:rPr>
          <w:rFonts w:ascii="Arial" w:hAnsi="Arial"/>
        </w:rPr>
      </w:pPr>
      <w:r w:rsidRPr="00FE3F32">
        <w:rPr>
          <w:rFonts w:ascii="Arial" w:hAnsi="Arial"/>
        </w:rPr>
        <w:t>5</w:t>
      </w:r>
      <w:r w:rsidRPr="00FE3F32">
        <w:rPr>
          <w:rFonts w:ascii="Arial" w:hAnsi="Arial"/>
        </w:rPr>
        <w:t xml:space="preserve"> </w:t>
      </w:r>
      <w:r w:rsidRPr="00FE3F32">
        <w:rPr>
          <w:rFonts w:ascii="Arial" w:hAnsi="Arial"/>
        </w:rPr>
        <w:br/>
      </w:r>
      <w:r w:rsidRPr="00FE3F32">
        <w:rPr>
          <w:rFonts w:ascii="Arial" w:hAnsi="Arial"/>
        </w:rPr>
        <w:br/>
      </w:r>
      <w:r w:rsidRPr="00FE3F32">
        <w:rPr>
          <w:rFonts w:ascii="Arial" w:hAnsi="Arial"/>
        </w:rPr>
        <w:br/>
      </w:r>
      <w:r w:rsidRPr="00FE3F32">
        <w:rPr>
          <w:rFonts w:ascii="Arial" w:hAnsi="Arial"/>
        </w:rPr>
        <w:br/>
      </w:r>
      <w:r w:rsidRPr="00FE3F32">
        <w:rPr>
          <w:rFonts w:ascii="Arial" w:hAnsi="Arial"/>
        </w:rPr>
        <w:br/>
      </w:r>
      <w:r w:rsidRPr="00FE3F32">
        <w:rPr>
          <w:rFonts w:ascii="Arial" w:hAnsi="Arial"/>
        </w:rPr>
        <w:br/>
      </w:r>
      <w:r w:rsidRPr="00FE3F32">
        <w:rPr>
          <w:rFonts w:ascii="Arial" w:hAnsi="Arial"/>
        </w:rPr>
        <w:lastRenderedPageBreak/>
        <w:br/>
      </w:r>
      <w:r w:rsidRPr="00FE3F32">
        <w:rPr>
          <w:rFonts w:ascii="Arial" w:hAnsi="Arial"/>
        </w:rPr>
        <w:br/>
      </w:r>
      <w:r w:rsidRPr="00FE3F32">
        <w:rPr>
          <w:rFonts w:ascii="Arial" w:hAnsi="Arial"/>
        </w:rPr>
        <w:br/>
      </w:r>
      <w:r w:rsidRPr="00FE3F32">
        <w:rPr>
          <w:rFonts w:ascii="Arial" w:hAnsi="Arial"/>
        </w:rPr>
        <w:br/>
      </w:r>
      <w:r w:rsidRPr="00FE3F32">
        <w:rPr>
          <w:rFonts w:ascii="Arial" w:hAnsi="Arial"/>
        </w:rPr>
        <w:br/>
      </w:r>
      <w:r w:rsidRPr="00FE3F32">
        <w:rPr>
          <w:rFonts w:ascii="Arial" w:hAnsi="Arial"/>
        </w:rPr>
        <w:t>Skalenbereiche, Levels of Detail, LOD:</w:t>
      </w:r>
      <w:r w:rsidRPr="00FE3F32">
        <w:rPr>
          <w:rFonts w:ascii="Arial" w:hAnsi="Arial"/>
        </w:rPr>
        <w:br/>
      </w:r>
      <w:r w:rsidRPr="00FE3F32">
        <w:rPr>
          <w:rFonts w:ascii="Arial" w:hAnsi="Arial"/>
        </w:rPr>
        <w:br/>
      </w:r>
      <w:r w:rsidRPr="00FE3F32">
        <w:rPr>
          <w:rFonts w:ascii="Arial" w:hAnsi="Arial"/>
        </w:rPr>
        <w:t>Die LOD-Stufen nach [GRÖGERet al.] am Beispiel von Gebäuden:</w:t>
      </w:r>
    </w:p>
    <w:p w:rsidR="004519C0" w:rsidRPr="00FE3F32" w:rsidRDefault="00E66B1C">
      <w:pPr>
        <w:pStyle w:val="Listenabsatz"/>
        <w:ind w:left="0"/>
        <w:rPr>
          <w:rFonts w:ascii="Arial" w:hAnsi="Arial"/>
        </w:rPr>
      </w:pPr>
      <w:r w:rsidRPr="00FE3F32">
        <w:rPr>
          <w:rFonts w:ascii="Arial" w:hAnsi="Arial"/>
        </w:rPr>
        <w:t>• LOD 0 bietet 3D-Landmarken, die gegebenenfalls  mit Luftbildern  versehen  werden  kann.  Man nennt es “Regionalmodell”.</w:t>
      </w:r>
    </w:p>
    <w:p w:rsidR="004519C0" w:rsidRPr="00FE3F32" w:rsidRDefault="00E66B1C">
      <w:pPr>
        <w:pStyle w:val="Listenabsatz"/>
        <w:ind w:left="0"/>
        <w:rPr>
          <w:rFonts w:ascii="Arial" w:hAnsi="Arial"/>
        </w:rPr>
      </w:pPr>
      <w:r w:rsidRPr="00FE3F32">
        <w:rPr>
          <w:rFonts w:ascii="Arial" w:hAnsi="Arial"/>
        </w:rPr>
        <w:t>• LOD 1 beinhaltet H</w:t>
      </w:r>
      <w:r w:rsidRPr="00FE3F32">
        <w:rPr>
          <w:rFonts w:ascii="Arial" w:hAnsi="Arial"/>
        </w:rPr>
        <w:t>äuser quaderförmiger Struktur. Materialeigenschaften können angegeben werden.</w:t>
      </w:r>
    </w:p>
    <w:p w:rsidR="004519C0" w:rsidRPr="00FE3F32" w:rsidRDefault="00E66B1C">
      <w:pPr>
        <w:pStyle w:val="Listenabsatz"/>
        <w:ind w:left="0"/>
        <w:rPr>
          <w:rFonts w:ascii="Arial" w:hAnsi="Arial"/>
        </w:rPr>
      </w:pPr>
      <w:r w:rsidRPr="00FE3F32">
        <w:rPr>
          <w:rFonts w:ascii="Arial" w:hAnsi="Arial"/>
        </w:rPr>
        <w:t>• LOD 2 besitzen einzelne Oberflächen eine eigene Geometrie, Dächer und Wände werden vom restlichen Gebäude unterschieden. Einzelne Flächen können hier mit Eigenschaften belegt w</w:t>
      </w:r>
      <w:r w:rsidRPr="00FE3F32">
        <w:rPr>
          <w:rFonts w:ascii="Arial" w:hAnsi="Arial"/>
        </w:rPr>
        <w:t>erden.</w:t>
      </w:r>
    </w:p>
    <w:p w:rsidR="004519C0" w:rsidRPr="00FE3F32" w:rsidRDefault="00E66B1C">
      <w:pPr>
        <w:pStyle w:val="Listenabsatz"/>
        <w:ind w:left="0"/>
        <w:rPr>
          <w:rFonts w:ascii="Arial" w:hAnsi="Arial"/>
        </w:rPr>
      </w:pPr>
      <w:r w:rsidRPr="00FE3F32">
        <w:rPr>
          <w:rFonts w:ascii="Arial" w:hAnsi="Arial"/>
        </w:rPr>
        <w:t>• LOD  3 ermöglicht detaillierte Hausfassaden  mit “Löchern” in der Textur (zum Beispiel Fenster, Türen, ...).</w:t>
      </w:r>
    </w:p>
    <w:p w:rsidR="004519C0" w:rsidRDefault="00E66B1C">
      <w:pPr>
        <w:pStyle w:val="Listenabsatz"/>
        <w:ind w:left="0"/>
        <w:rPr>
          <w:rFonts w:ascii="Arial" w:hAnsi="Arial"/>
        </w:rPr>
      </w:pPr>
      <w:r w:rsidRPr="00FE3F32">
        <w:rPr>
          <w:rFonts w:ascii="Arial" w:hAnsi="Arial"/>
        </w:rPr>
        <w:t>• LOD  4  beinhaltet auch die Innenarchitektur der Gebäude samt Einrichtungsgegenständen</w:t>
      </w:r>
      <w:r w:rsidRPr="00FE3F32">
        <w:rPr>
          <w:rFonts w:ascii="Arial" w:hAnsi="Arial"/>
        </w:rPr>
        <w:br/>
      </w:r>
      <w:r w:rsidRPr="00FE3F32">
        <w:rPr>
          <w:rFonts w:ascii="Arial" w:hAnsi="Arial"/>
        </w:rPr>
        <w:br/>
      </w:r>
      <w:r w:rsidRPr="00FE3F32">
        <w:rPr>
          <w:rFonts w:ascii="Arial" w:hAnsi="Arial"/>
        </w:rPr>
        <w:t>Für die Volumenberechnung in diesem Projekt wurd</w:t>
      </w:r>
      <w:r w:rsidRPr="00FE3F32">
        <w:rPr>
          <w:rFonts w:ascii="Arial" w:hAnsi="Arial"/>
        </w:rPr>
        <w:t>e die Detailstufe “LOD 2” gewählt, da sie die Ergebnisse bei hinnehmbarem Aufwand schon genau genug abbilden kann und zudem viele Testdaten in dieser Stufe vorhanden sind.</w:t>
      </w:r>
    </w:p>
    <w:p w:rsidR="004519C0" w:rsidRPr="00FE3F32" w:rsidRDefault="004519C0">
      <w:pPr>
        <w:pStyle w:val="Listenabsatz"/>
        <w:ind w:left="0"/>
        <w:rPr>
          <w:rFonts w:ascii="Arial" w:hAnsi="Arial"/>
          <w:color w:val="000000"/>
        </w:rPr>
      </w:pPr>
    </w:p>
    <w:p w:rsidR="004519C0" w:rsidRPr="00FE3F32" w:rsidRDefault="00E66B1C">
      <w:pPr>
        <w:pStyle w:val="Listenabsatz"/>
        <w:ind w:left="0"/>
        <w:rPr>
          <w:rFonts w:ascii="Arial" w:hAnsi="Arial"/>
          <w:color w:val="000000"/>
        </w:rPr>
      </w:pPr>
      <w:r w:rsidRPr="00FE3F32">
        <w:rPr>
          <w:rFonts w:ascii="Arial" w:hAnsi="Arial"/>
          <w:color w:val="000000"/>
        </w:rPr>
        <w:t>1.2 StAX</w:t>
      </w:r>
      <w:r w:rsidRPr="00FE3F32">
        <w:rPr>
          <w:rFonts w:ascii="Arial" w:hAnsi="Arial"/>
          <w:color w:val="000000"/>
        </w:rPr>
        <w:br/>
      </w:r>
    </w:p>
    <w:p w:rsidR="004519C0" w:rsidRPr="00FE3F32" w:rsidRDefault="00E66B1C">
      <w:pPr>
        <w:pStyle w:val="Listenabsatz"/>
        <w:ind w:left="0"/>
        <w:jc w:val="both"/>
        <w:rPr>
          <w:rFonts w:ascii="Arial" w:hAnsi="Arial"/>
          <w:color w:val="000000"/>
        </w:rPr>
      </w:pPr>
      <w:r w:rsidRPr="00FE3F32">
        <w:rPr>
          <w:rFonts w:ascii="Arial" w:hAnsi="Arial"/>
          <w:color w:val="000000"/>
        </w:rPr>
        <w:t>Die “Streaming API for XML” (StAX) wurde 2006 vom “Java Community Process</w:t>
      </w:r>
      <w:r w:rsidRPr="00FE3F32">
        <w:rPr>
          <w:rFonts w:ascii="Arial" w:hAnsi="Arial"/>
          <w:color w:val="000000"/>
        </w:rPr>
        <w:t>” ist dafür gedacht, XML-Dateien mit Java zu verarbeiten. Es stellt einen Mittelweg zwischen den zuvor beliebten DOM- und SAX-Parsern dar. Statt einer Baumstruktur, die komplett in den Arbeitsspeicher geladen wird, wie es bei DOM-Parsern der Fall ist, verw</w:t>
      </w:r>
      <w:r w:rsidRPr="00FE3F32">
        <w:rPr>
          <w:rFonts w:ascii="Arial" w:hAnsi="Arial"/>
          <w:color w:val="000000"/>
        </w:rPr>
        <w:t>endet es einen Mechanismus der die Daten genau dann abruft, wenn sie gebraucht werden. Statt wie beim SAX-Parser mit mehreren Durchläufen zu arbeiten, ist es mit StAX möglich, den Baum dynamisch zu verändern.</w:t>
      </w:r>
    </w:p>
    <w:p w:rsidR="004519C0" w:rsidRDefault="004519C0">
      <w:pPr>
        <w:rPr>
          <w:rFonts w:ascii="Arial" w:hAnsi="Arial"/>
          <w:color w:val="000000"/>
        </w:rPr>
      </w:pPr>
    </w:p>
    <w:p w:rsidR="004519C0" w:rsidRPr="00FE3F32" w:rsidRDefault="00E66B1C">
      <w:pPr>
        <w:pStyle w:val="Listenabsatz"/>
        <w:ind w:left="0"/>
        <w:rPr>
          <w:rFonts w:ascii="Arial" w:hAnsi="Arial"/>
          <w:color w:val="000000"/>
        </w:rPr>
      </w:pPr>
      <w:r w:rsidRPr="00FE3F32">
        <w:rPr>
          <w:rFonts w:ascii="Arial" w:hAnsi="Arial"/>
          <w:color w:val="000000"/>
        </w:rPr>
        <w:t>1.3 JAXB</w:t>
      </w:r>
    </w:p>
    <w:p w:rsidR="004519C0" w:rsidRPr="00FE3F32" w:rsidRDefault="004519C0">
      <w:pPr>
        <w:pStyle w:val="Listenabsatz"/>
        <w:ind w:left="0"/>
        <w:rPr>
          <w:rFonts w:ascii="Arial" w:hAnsi="Arial"/>
          <w:color w:val="000000"/>
        </w:rPr>
      </w:pPr>
    </w:p>
    <w:p w:rsidR="004519C0" w:rsidRPr="00FE3F32" w:rsidRDefault="00E66B1C">
      <w:pPr>
        <w:pStyle w:val="Listenabsatz"/>
        <w:ind w:left="0"/>
        <w:jc w:val="both"/>
        <w:rPr>
          <w:rFonts w:ascii="Arial" w:hAnsi="Arial"/>
          <w:color w:val="000000"/>
        </w:rPr>
      </w:pPr>
      <w:r w:rsidRPr="00FE3F32">
        <w:rPr>
          <w:rFonts w:ascii="Arial" w:hAnsi="Arial"/>
          <w:color w:val="000000"/>
        </w:rPr>
        <w:t>Neben StAX wird in diesem Projekt no</w:t>
      </w:r>
      <w:r w:rsidRPr="00FE3F32">
        <w:rPr>
          <w:rFonts w:ascii="Arial" w:hAnsi="Arial"/>
          <w:color w:val="000000"/>
        </w:rPr>
        <w:t>ch die API “Java Architecture for XML Binding” (JAXB) als Alternative zu SAX und DOM verwendet, da sich herausstellte, dass die Möglichkeiten zum Bearbeiten der XML-Dokumente aus der Java-Anwendung wesentlich komfortabler möglich ist.</w:t>
      </w:r>
    </w:p>
    <w:p w:rsidR="004519C0" w:rsidRPr="00FE3F32" w:rsidRDefault="004519C0">
      <w:pPr>
        <w:pStyle w:val="Listenabsatz"/>
        <w:ind w:left="0"/>
        <w:rPr>
          <w:rFonts w:ascii="Arial" w:hAnsi="Arial"/>
          <w:color w:val="000000"/>
        </w:rPr>
      </w:pPr>
    </w:p>
    <w:p w:rsidR="004519C0" w:rsidRPr="00FE3F32" w:rsidRDefault="004519C0">
      <w:pPr>
        <w:pStyle w:val="Listenabsatz"/>
        <w:ind w:left="0"/>
        <w:rPr>
          <w:rFonts w:ascii="Arial" w:hAnsi="Arial"/>
          <w:color w:val="000000"/>
        </w:rPr>
      </w:pPr>
    </w:p>
    <w:p w:rsidR="004519C0" w:rsidRPr="00FE3F32" w:rsidRDefault="00E66B1C">
      <w:pPr>
        <w:pStyle w:val="Listenabsatz"/>
        <w:ind w:left="0"/>
        <w:rPr>
          <w:rFonts w:ascii="Arial" w:hAnsi="Arial"/>
          <w:color w:val="000000"/>
        </w:rPr>
      </w:pPr>
      <w:r w:rsidRPr="00FE3F32">
        <w:rPr>
          <w:rFonts w:ascii="Arial" w:hAnsi="Arial"/>
          <w:color w:val="000000"/>
        </w:rPr>
        <w:lastRenderedPageBreak/>
        <w:t>1.4 OpenGL</w:t>
      </w:r>
    </w:p>
    <w:p w:rsidR="004519C0" w:rsidRPr="00FE3F32" w:rsidRDefault="004519C0">
      <w:pPr>
        <w:pStyle w:val="Listenabsatz"/>
        <w:ind w:left="0"/>
        <w:rPr>
          <w:rFonts w:ascii="Arial" w:hAnsi="Arial"/>
          <w:color w:val="000000"/>
        </w:rPr>
      </w:pPr>
    </w:p>
    <w:p w:rsidR="004519C0" w:rsidRDefault="00E66B1C">
      <w:pPr>
        <w:pStyle w:val="Listenabsatz"/>
        <w:ind w:left="0"/>
        <w:jc w:val="both"/>
        <w:rPr>
          <w:rFonts w:ascii="Arial" w:hAnsi="Arial"/>
        </w:rPr>
      </w:pPr>
      <w:r w:rsidRPr="00FE3F32">
        <w:rPr>
          <w:rFonts w:ascii="Arial" w:hAnsi="Arial"/>
          <w:color w:val="000000"/>
        </w:rPr>
        <w:t xml:space="preserve">OpenGL </w:t>
      </w:r>
      <w:r w:rsidRPr="00FE3F32">
        <w:rPr>
          <w:rFonts w:ascii="Arial" w:hAnsi="Arial"/>
          <w:color w:val="000000"/>
        </w:rPr>
        <w:t>wurde 1992 von der Khronos Group, einem Industriekonsortium mit namhaften Mitgliedern wie zum Beispiel AMD, Google und Oracle entwickelt und stetig weiterentwickelt. In diesem Projekt wird OpenGL zum Triangulieren genutzt. In Kapitel [???] wird genauer dar</w:t>
      </w:r>
      <w:r w:rsidRPr="00FE3F32">
        <w:rPr>
          <w:rFonts w:ascii="Arial" w:hAnsi="Arial"/>
          <w:color w:val="000000"/>
        </w:rPr>
        <w:t>auf eingegangen.</w:t>
      </w:r>
    </w:p>
    <w:p w:rsidR="004519C0" w:rsidRPr="00FE3F32" w:rsidRDefault="004519C0">
      <w:pPr>
        <w:pStyle w:val="Listenabsatz"/>
        <w:ind w:left="0"/>
        <w:rPr>
          <w:rFonts w:ascii="Arial" w:hAnsi="Arial"/>
        </w:rPr>
      </w:pPr>
    </w:p>
    <w:p w:rsidR="004519C0" w:rsidRDefault="00E66B1C">
      <w:pPr>
        <w:pStyle w:val="Listenabsatz"/>
        <w:ind w:left="0"/>
        <w:rPr>
          <w:rFonts w:ascii="Arial" w:hAnsi="Arial"/>
        </w:rPr>
      </w:pPr>
      <w:r w:rsidRPr="00FE3F32">
        <w:rPr>
          <w:rFonts w:ascii="Arial" w:hAnsi="Arial"/>
        </w:rPr>
        <w:t>2 Prototyp</w:t>
      </w:r>
    </w:p>
    <w:p w:rsidR="004519C0" w:rsidRDefault="004519C0">
      <w:pPr>
        <w:pStyle w:val="Listenabsatz"/>
        <w:ind w:left="0"/>
        <w:rPr>
          <w:rFonts w:ascii="Arial" w:hAnsi="Arial"/>
        </w:rPr>
      </w:pPr>
    </w:p>
    <w:p w:rsidR="004519C0" w:rsidRDefault="00E66B1C">
      <w:pPr>
        <w:pStyle w:val="Listenabsatz"/>
        <w:ind w:left="0"/>
        <w:jc w:val="both"/>
        <w:rPr>
          <w:rFonts w:ascii="Arial" w:hAnsi="Arial"/>
        </w:rPr>
      </w:pPr>
      <w:r w:rsidRPr="00FE3F32">
        <w:rPr>
          <w:rFonts w:ascii="Arial" w:hAnsi="Arial"/>
        </w:rPr>
        <w:t>Zum Einarbeiten in CityGML und um dessen Funktionsweise zu verstehen, wurde ein Prototyp geschaffen. Er entstand in der ersten Iteration und wurde stetig weiterentwickelt, sobald Fortsc</w:t>
      </w:r>
      <w:r w:rsidRPr="00FE3F32">
        <w:rPr>
          <w:rFonts w:ascii="Arial" w:hAnsi="Arial"/>
        </w:rPr>
        <w:t>hritte erfolgt waren.</w:t>
      </w:r>
      <w:r w:rsidRPr="00FE3F32">
        <w:rPr>
          <w:rFonts w:ascii="Arial" w:hAnsi="Arial"/>
          <w:color w:val="000000"/>
        </w:rPr>
        <w:t xml:space="preserve"> In Kapitel [???] we</w:t>
      </w:r>
      <w:r w:rsidRPr="00FE3F32">
        <w:rPr>
          <w:rFonts w:ascii="Arial" w:hAnsi="Arial"/>
          <w:color w:val="000000"/>
        </w:rPr>
        <w:t>rden die Probleme Erläutert, die dabei enststanden.</w:t>
      </w:r>
    </w:p>
    <w:p w:rsidR="004519C0" w:rsidRPr="00FE3F32" w:rsidRDefault="004519C0">
      <w:pPr>
        <w:pStyle w:val="Listenabsatz"/>
        <w:ind w:left="0"/>
        <w:rPr>
          <w:rFonts w:ascii="Arial" w:hAnsi="Arial"/>
        </w:rPr>
      </w:pPr>
    </w:p>
    <w:p w:rsidR="004519C0" w:rsidRDefault="00E66B1C">
      <w:pPr>
        <w:pStyle w:val="Listenabsatz"/>
        <w:ind w:left="0"/>
      </w:pPr>
      <w:r w:rsidRPr="00FE3F32">
        <w:rPr>
          <w:rFonts w:ascii="Arial" w:hAnsi="Arial"/>
        </w:rPr>
        <w:t>3 Probleme und Lösungen</w:t>
      </w:r>
      <w:r w:rsidRPr="00FE3F32">
        <w:rPr>
          <w:rFonts w:ascii="Arial" w:hAnsi="Arial"/>
        </w:rPr>
        <w:br/>
      </w:r>
      <w:r w:rsidRPr="00FE3F32">
        <w:rPr>
          <w:rFonts w:ascii="Arial" w:hAnsi="Arial"/>
          <w:color w:val="000000"/>
        </w:rPr>
        <w:t>3.1 Namenskonflikte mit Datenmodell</w:t>
      </w:r>
    </w:p>
    <w:p w:rsidR="004519C0" w:rsidRPr="00FE3F32" w:rsidRDefault="004519C0">
      <w:pPr>
        <w:rPr>
          <w:rFonts w:ascii="Arial" w:hAnsi="Arial"/>
        </w:rPr>
      </w:pPr>
    </w:p>
    <w:p w:rsidR="004519C0" w:rsidRPr="00FE3F32" w:rsidRDefault="00E66B1C">
      <w:pPr>
        <w:jc w:val="both"/>
        <w:rPr>
          <w:rFonts w:ascii="Arial" w:hAnsi="Arial"/>
        </w:rPr>
      </w:pPr>
      <w:r w:rsidRPr="00FE3F32">
        <w:rPr>
          <w:rFonts w:ascii="Arial" w:hAnsi="Arial"/>
          <w:color w:val="000000"/>
        </w:rPr>
        <w:t>Nachdem das Datenmodell entworfen war, entstanden in der Parser-Gruppe Namenskonflikte, die wir nur durch direktes “Ansprechen” der gewünschte</w:t>
      </w:r>
      <w:r w:rsidRPr="00FE3F32">
        <w:rPr>
          <w:rFonts w:ascii="Arial" w:hAnsi="Arial"/>
          <w:color w:val="000000"/>
        </w:rPr>
        <w:t>n Klasse beheben konnten (zum Beispiel org.citygml4j.model.citygml.building.Building Building, damit nicht das Building unseres eigenen Datenmodells verwendet wird).</w:t>
      </w:r>
      <w:r w:rsidRPr="00FE3F32">
        <w:rPr>
          <w:rFonts w:ascii="Arial" w:hAnsi="Arial"/>
          <w:color w:val="000000"/>
        </w:rPr>
        <w:br/>
      </w:r>
    </w:p>
    <w:p w:rsidR="004519C0" w:rsidRPr="00FE3F32" w:rsidRDefault="00E66B1C">
      <w:pPr>
        <w:pStyle w:val="Listenabsatz"/>
        <w:ind w:left="0"/>
        <w:rPr>
          <w:rFonts w:ascii="Arial" w:hAnsi="Arial"/>
        </w:rPr>
      </w:pPr>
      <w:r w:rsidRPr="00FE3F32">
        <w:rPr>
          <w:rFonts w:ascii="Arial" w:hAnsi="Arial"/>
        </w:rPr>
        <w:t>3.2 Laufzeit</w:t>
      </w:r>
      <w:r w:rsidRPr="00FE3F32">
        <w:rPr>
          <w:rFonts w:ascii="Arial" w:hAnsi="Arial"/>
        </w:rPr>
        <w:br/>
      </w:r>
    </w:p>
    <w:p w:rsidR="004519C0" w:rsidRPr="00FE3F32" w:rsidRDefault="00E66B1C">
      <w:pPr>
        <w:pStyle w:val="Listenabsatz"/>
        <w:ind w:left="0"/>
        <w:jc w:val="both"/>
        <w:rPr>
          <w:rFonts w:ascii="Arial" w:hAnsi="Arial"/>
        </w:rPr>
      </w:pPr>
      <w:r w:rsidRPr="00FE3F32">
        <w:rPr>
          <w:rFonts w:ascii="Arial" w:hAnsi="Arial"/>
        </w:rPr>
        <w:t xml:space="preserve">Das Parsen der XML-Daten benötigt nach wie vor relativ lange Zeit. So hat </w:t>
      </w:r>
      <w:r w:rsidRPr="00FE3F32">
        <w:rPr>
          <w:rFonts w:ascii="Arial" w:hAnsi="Arial"/>
        </w:rPr>
        <w:t>die Beispieldatei eines kleinen Vorortes von Ludwigsburg weniger als 100MB Inhalt. Wählt man das Stadtmodell größer, werden definitiv nicht hinnehmbare Zeiten entstehen. Das Stadtmodell von Berlin ist zum Beispiel 21,1GB groß und lässt erahnen, dass die La</w:t>
      </w:r>
      <w:r w:rsidRPr="00FE3F32">
        <w:rPr>
          <w:rFonts w:ascii="Arial" w:hAnsi="Arial"/>
        </w:rPr>
        <w:t>ufzeit für unser Projekt in Ordnung ist, für größere Projekte an der Performanz aber noch gearbeitet werden muss.</w:t>
      </w:r>
    </w:p>
    <w:p w:rsidR="004519C0" w:rsidRPr="00FE3F32" w:rsidRDefault="004519C0">
      <w:pPr>
        <w:pStyle w:val="Listenabsatz"/>
        <w:ind w:left="0"/>
        <w:rPr>
          <w:rFonts w:ascii="Arial" w:hAnsi="Arial"/>
        </w:rPr>
      </w:pPr>
    </w:p>
    <w:p w:rsidR="004519C0" w:rsidRPr="00FE3F32" w:rsidRDefault="00E66B1C">
      <w:pPr>
        <w:pStyle w:val="Listenabsatz"/>
        <w:ind w:left="0"/>
        <w:jc w:val="both"/>
        <w:rPr>
          <w:rFonts w:ascii="Arial" w:hAnsi="Arial"/>
        </w:rPr>
      </w:pPr>
      <w:r w:rsidRPr="00FE3F32">
        <w:rPr>
          <w:rFonts w:ascii="Arial" w:hAnsi="Arial"/>
        </w:rPr>
        <w:t>3.3 Genauigkeit (ungelöst)</w:t>
      </w:r>
      <w:r w:rsidRPr="00FE3F32">
        <w:rPr>
          <w:rFonts w:ascii="Arial" w:hAnsi="Arial"/>
        </w:rPr>
        <w:tab/>
      </w:r>
      <w:r w:rsidRPr="00FE3F32">
        <w:rPr>
          <w:rFonts w:ascii="Arial" w:hAnsi="Arial"/>
        </w:rPr>
        <w:br/>
      </w:r>
      <w:r w:rsidRPr="00FE3F32">
        <w:rPr>
          <w:rFonts w:ascii="Arial" w:hAnsi="Arial"/>
        </w:rPr>
        <w:br/>
      </w:r>
      <w:r w:rsidRPr="00FE3F32">
        <w:rPr>
          <w:rFonts w:ascii="Arial" w:hAnsi="Arial"/>
        </w:rPr>
        <w:t>Durch das “casten” von double-Werten und dem damit verbundenen Abschneiden von Nachkommastellen, verlieren die D</w:t>
      </w:r>
      <w:r w:rsidRPr="00FE3F32">
        <w:rPr>
          <w:rFonts w:ascii="Arial" w:hAnsi="Arial"/>
        </w:rPr>
        <w:t>aten an Genauigkeit. Da die Weiterverarbeitung jedoch mit double-Werten nicht funktioniert, muss dieser Schritt beim Parsen unternommen werden. Denkbar wäre eine andere Datenstruktur, die die Daten in zwei Abschnitten bearbeitet und das Ergebnis wieder zus</w:t>
      </w:r>
      <w:r w:rsidRPr="00FE3F32">
        <w:rPr>
          <w:rFonts w:ascii="Arial" w:hAnsi="Arial"/>
        </w:rPr>
        <w:t>ammenführt.</w:t>
      </w:r>
    </w:p>
    <w:p w:rsidR="004519C0" w:rsidRPr="00FE3F32" w:rsidRDefault="004519C0">
      <w:pPr>
        <w:pStyle w:val="Listenabsatz"/>
        <w:ind w:left="0"/>
        <w:rPr>
          <w:rFonts w:ascii="Arial" w:hAnsi="Arial"/>
        </w:rPr>
      </w:pPr>
    </w:p>
    <w:p w:rsidR="004519C0" w:rsidRDefault="00E66B1C">
      <w:pPr>
        <w:pStyle w:val="Listenabsatz"/>
        <w:ind w:left="0"/>
        <w:rPr>
          <w:rFonts w:ascii="Arial" w:hAnsi="Arial"/>
        </w:rPr>
      </w:pPr>
      <w:r w:rsidRPr="00FE3F32">
        <w:rPr>
          <w:rFonts w:ascii="Arial" w:hAnsi="Arial"/>
        </w:rPr>
        <w:t>3.3 CityGML-Dokumentation</w:t>
      </w:r>
      <w:r w:rsidRPr="00FE3F32">
        <w:rPr>
          <w:rFonts w:ascii="Arial" w:hAnsi="Arial"/>
        </w:rPr>
        <w:br/>
      </w:r>
    </w:p>
    <w:p w:rsidR="004519C0" w:rsidRDefault="00E66B1C">
      <w:pPr>
        <w:pStyle w:val="Listenabsatz"/>
        <w:ind w:left="0"/>
        <w:jc w:val="both"/>
        <w:rPr>
          <w:rFonts w:ascii="Arial" w:hAnsi="Arial"/>
        </w:rPr>
      </w:pPr>
      <w:r w:rsidRPr="00FE3F32">
        <w:rPr>
          <w:rFonts w:ascii="Arial" w:hAnsi="Arial"/>
        </w:rPr>
        <w:lastRenderedPageBreak/>
        <w:t>Zum Zeitpunkt der Erstellung des Prototypens gab es nicht viele Tutorials oder Beispiele im Internet zu finden, mit denen man hätte arbeiten können. So musste an manchen Stellen “gecastet” werden, die wir ohne die Hi</w:t>
      </w:r>
      <w:r w:rsidRPr="00FE3F32">
        <w:rPr>
          <w:rFonts w:ascii="Arial" w:hAnsi="Arial"/>
        </w:rPr>
        <w:t xml:space="preserve">lfe von Prof. Dr. Coors nur mit wesentlich mehr Zeitaufwand eventuell gefunden hätten. Um auf den Namen der Stadt zuzugreifen in dem sich ein Gebäude befindet, ist zum Beispiel folgende Verkettung von Methodenaufrufen notwendig, um den XML-Baum bis an die </w:t>
      </w:r>
      <w:r w:rsidRPr="00FE3F32">
        <w:rPr>
          <w:rFonts w:ascii="Arial" w:hAnsi="Arial"/>
        </w:rPr>
        <w:t>gewünschte Stelle hinab zu gehen:</w:t>
      </w:r>
    </w:p>
    <w:p w:rsidR="004519C0" w:rsidRPr="00FE3F32" w:rsidRDefault="00E66B1C">
      <w:pPr>
        <w:rPr>
          <w:rFonts w:ascii="Arial" w:hAnsi="Arial"/>
        </w:rPr>
      </w:pPr>
      <w:r w:rsidRPr="00FE3F32">
        <w:rPr>
          <w:rFonts w:ascii="Arial" w:hAnsi="Arial"/>
          <w:color w:val="000000"/>
        </w:rPr>
        <w:t>String theCity = building.getAddress().get(0).getAddress().getXalAddress().getAddressDetails().getCountry().getLocality().getLocalityName().get(0).getContent();</w:t>
      </w:r>
      <w:r w:rsidRPr="00FE3F32">
        <w:rPr>
          <w:rFonts w:ascii="Arial" w:hAnsi="Arial"/>
          <w:color w:val="000000"/>
        </w:rPr>
        <w:br/>
      </w:r>
      <w:r w:rsidRPr="00FE3F32">
        <w:rPr>
          <w:rFonts w:ascii="Arial" w:hAnsi="Arial"/>
          <w:color w:val="000000"/>
        </w:rPr>
        <w:br/>
      </w:r>
      <w:r w:rsidRPr="00FE3F32">
        <w:rPr>
          <w:rFonts w:ascii="Arial" w:hAnsi="Arial"/>
          <w:color w:val="000000"/>
        </w:rPr>
        <w:t>Dabei sind theoretisch auf jeder Ebene NullPointerExceptions</w:t>
      </w:r>
      <w:r w:rsidRPr="00FE3F32">
        <w:rPr>
          <w:rFonts w:ascii="Arial" w:hAnsi="Arial"/>
          <w:color w:val="000000"/>
        </w:rPr>
        <w:t xml:space="preserve"> möglich, die abgefangen werden sollten.</w:t>
      </w:r>
    </w:p>
    <w:p w:rsidR="004519C0" w:rsidRPr="00FE3F32" w:rsidRDefault="004519C0">
      <w:pPr>
        <w:pStyle w:val="Listenabsatz"/>
        <w:ind w:left="0"/>
        <w:rPr>
          <w:rFonts w:ascii="Arial" w:hAnsi="Arial"/>
        </w:rPr>
      </w:pPr>
    </w:p>
    <w:p w:rsidR="004519C0" w:rsidRPr="00FE3F32" w:rsidRDefault="00E66B1C">
      <w:pPr>
        <w:pStyle w:val="Listenabsatz"/>
        <w:ind w:left="0"/>
        <w:rPr>
          <w:rFonts w:ascii="Arial" w:hAnsi="Arial"/>
        </w:rPr>
      </w:pPr>
      <w:r w:rsidRPr="00FE3F32">
        <w:rPr>
          <w:rFonts w:ascii="Arial" w:hAnsi="Arial"/>
        </w:rPr>
        <w:t>Abbildungsverzeichnis:</w:t>
      </w:r>
    </w:p>
    <w:p w:rsidR="004519C0" w:rsidRPr="00FE3F32" w:rsidRDefault="00E66B1C">
      <w:pPr>
        <w:pStyle w:val="Listenabsatz"/>
        <w:ind w:left="0"/>
        <w:rPr>
          <w:rFonts w:ascii="Arial" w:hAnsi="Arial"/>
        </w:rPr>
      </w:pPr>
      <w:r w:rsidRPr="00FE3F32">
        <w:rPr>
          <w:rFonts w:ascii="Arial" w:hAnsi="Arial"/>
        </w:rPr>
        <w:t>citygml2: CityGML Encoding Standard, Kolbe et al. 2012</w:t>
      </w:r>
    </w:p>
    <w:p w:rsidR="004519C0" w:rsidRPr="00FE3F32" w:rsidRDefault="004519C0">
      <w:pPr>
        <w:pStyle w:val="Listenabsatz"/>
        <w:ind w:left="0"/>
        <w:rPr>
          <w:rFonts w:ascii="Arial" w:hAnsi="Arial"/>
        </w:rPr>
      </w:pPr>
    </w:p>
    <w:p w:rsidR="004519C0" w:rsidRDefault="00E66B1C">
      <w:pPr>
        <w:pStyle w:val="Listenabsatz"/>
        <w:ind w:left="0"/>
        <w:rPr>
          <w:rFonts w:ascii="Arial" w:hAnsi="Arial"/>
        </w:rPr>
      </w:pPr>
      <w:r w:rsidRPr="00FE3F32">
        <w:rPr>
          <w:rFonts w:ascii="Arial" w:hAnsi="Arial"/>
        </w:rPr>
        <w:t>Quellen:</w:t>
      </w:r>
      <w:r w:rsidRPr="00FE3F32">
        <w:rPr>
          <w:rFonts w:ascii="Arial" w:hAnsi="Arial"/>
        </w:rPr>
        <w:br/>
      </w:r>
      <w:r w:rsidRPr="00FE3F32">
        <w:rPr>
          <w:rFonts w:ascii="Arial" w:hAnsi="Arial"/>
        </w:rPr>
        <w:t>Fachreferate:</w:t>
      </w:r>
    </w:p>
    <w:p w:rsidR="004519C0" w:rsidRDefault="00E66B1C">
      <w:pPr>
        <w:pStyle w:val="Listenabsatz"/>
        <w:ind w:left="0"/>
        <w:rPr>
          <w:rFonts w:ascii="Arial" w:hAnsi="Arial"/>
        </w:rPr>
      </w:pPr>
      <w:r w:rsidRPr="00FE3F32">
        <w:rPr>
          <w:rFonts w:ascii="Arial" w:hAnsi="Arial"/>
        </w:rPr>
        <w:t>T.H. Kolbe, 2008, CityGML - Ein Standard für virtuelle 3D-Stadtmodelle, Skript</w:t>
      </w:r>
      <w:r w:rsidRPr="00FE3F32">
        <w:rPr>
          <w:rFonts w:ascii="Arial" w:hAnsi="Arial"/>
        </w:rPr>
        <w:br/>
      </w:r>
      <w:r w:rsidRPr="00FE3F32">
        <w:rPr>
          <w:rFonts w:ascii="Arial" w:hAnsi="Arial"/>
        </w:rPr>
        <w:t>T.H. Kolbe, 2005, CityGML, OGC TC</w:t>
      </w:r>
      <w:r w:rsidRPr="00FE3F32">
        <w:rPr>
          <w:rFonts w:ascii="Arial" w:hAnsi="Arial"/>
        </w:rPr>
        <w:t xml:space="preserve"> Meeting Bonn (Open Geospatial Consortium Technical committee meeting)</w:t>
      </w:r>
      <w:r w:rsidRPr="00FE3F32">
        <w:rPr>
          <w:rFonts w:ascii="Arial" w:hAnsi="Arial"/>
        </w:rPr>
        <w:br/>
      </w:r>
      <w:r w:rsidRPr="00FE3F32">
        <w:rPr>
          <w:rFonts w:ascii="Arial" w:hAnsi="Arial"/>
        </w:rPr>
        <w:br/>
      </w:r>
      <w:r w:rsidRPr="00FE3F32">
        <w:rPr>
          <w:rFonts w:ascii="Arial" w:hAnsi="Arial"/>
        </w:rPr>
        <w:t>Veröffentlichungen:</w:t>
      </w:r>
      <w:r w:rsidRPr="00FE3F32">
        <w:rPr>
          <w:rFonts w:ascii="Arial" w:hAnsi="Arial"/>
        </w:rPr>
        <w:br/>
      </w:r>
      <w:r w:rsidRPr="00FE3F32">
        <w:rPr>
          <w:rFonts w:ascii="Arial" w:hAnsi="Arial"/>
        </w:rPr>
        <w:t>C.A.L.Sánchez, 2013, Estimation of Electric Energy Demand using 3D City Models, Master Thesis</w:t>
      </w:r>
      <w:r w:rsidRPr="00FE3F32">
        <w:rPr>
          <w:rFonts w:ascii="Arial" w:hAnsi="Arial"/>
        </w:rPr>
        <w:br/>
      </w:r>
      <w:r w:rsidRPr="00FE3F32">
        <w:rPr>
          <w:rFonts w:ascii="Arial" w:hAnsi="Arial"/>
        </w:rPr>
        <w:t>Löwner et al., 2013, CityGML 2.0 – Ein internationaler Standard für 3D</w:t>
      </w:r>
      <w:r w:rsidRPr="00FE3F32">
        <w:rPr>
          <w:rFonts w:ascii="Arial" w:hAnsi="Arial"/>
        </w:rPr>
        <w:t>-Stadtmodelle, Zeitschrift für Geodäsie, Geoinformation und Landmanagement (138 Jg., Heft 2)</w:t>
      </w:r>
    </w:p>
    <w:p w:rsidR="004519C0" w:rsidRPr="00FE3F32" w:rsidRDefault="00E66B1C">
      <w:pPr>
        <w:pStyle w:val="Listenabsatz"/>
        <w:ind w:left="0"/>
        <w:rPr>
          <w:rFonts w:ascii="Arial" w:hAnsi="Arial"/>
          <w:lang w:val="en-US"/>
        </w:rPr>
      </w:pPr>
      <w:proofErr w:type="spellStart"/>
      <w:r>
        <w:rPr>
          <w:rFonts w:ascii="Arial" w:hAnsi="Arial"/>
          <w:lang w:val="en-US"/>
        </w:rPr>
        <w:t>G.Gröger</w:t>
      </w:r>
      <w:proofErr w:type="spellEnd"/>
      <w:r>
        <w:rPr>
          <w:rFonts w:ascii="Arial" w:hAnsi="Arial"/>
          <w:lang w:val="en-US"/>
        </w:rPr>
        <w:t xml:space="preserve">, Lutz </w:t>
      </w:r>
      <w:proofErr w:type="spellStart"/>
      <w:r>
        <w:rPr>
          <w:rFonts w:ascii="Arial" w:hAnsi="Arial"/>
          <w:lang w:val="en-US"/>
        </w:rPr>
        <w:t>Plümer</w:t>
      </w:r>
      <w:proofErr w:type="spellEnd"/>
      <w:r>
        <w:rPr>
          <w:rFonts w:ascii="Arial" w:hAnsi="Arial"/>
          <w:lang w:val="en-US"/>
        </w:rPr>
        <w:t>, 2012, CityGML - Interoperable semantic 3D city models, ISPRS Journal of Photogrammetry and Remote Sensing</w:t>
      </w:r>
      <w:r>
        <w:rPr>
          <w:rFonts w:ascii="Arial" w:hAnsi="Arial"/>
          <w:lang w:val="en-US"/>
        </w:rPr>
        <w:br/>
      </w:r>
      <w:r>
        <w:rPr>
          <w:rFonts w:ascii="Arial" w:hAnsi="Arial"/>
          <w:lang w:val="en-US"/>
        </w:rPr>
        <w:t xml:space="preserve">Felix </w:t>
      </w:r>
      <w:proofErr w:type="spellStart"/>
      <w:r>
        <w:rPr>
          <w:rFonts w:ascii="Arial" w:hAnsi="Arial"/>
          <w:lang w:val="en-US"/>
        </w:rPr>
        <w:t>Kunde</w:t>
      </w:r>
      <w:proofErr w:type="spellEnd"/>
      <w:r>
        <w:rPr>
          <w:rFonts w:ascii="Arial" w:hAnsi="Arial"/>
          <w:lang w:val="en-US"/>
        </w:rPr>
        <w:t xml:space="preserve">, 2012, CityGML in </w:t>
      </w:r>
      <w:proofErr w:type="spellStart"/>
      <w:r>
        <w:rPr>
          <w:rFonts w:ascii="Arial" w:hAnsi="Arial"/>
          <w:lang w:val="en-US"/>
        </w:rPr>
        <w:t>Post</w:t>
      </w:r>
      <w:r>
        <w:rPr>
          <w:rFonts w:ascii="Arial" w:hAnsi="Arial"/>
          <w:lang w:val="en-US"/>
        </w:rPr>
        <w:t>GIS</w:t>
      </w:r>
      <w:proofErr w:type="spellEnd"/>
      <w:r>
        <w:rPr>
          <w:rFonts w:ascii="Arial" w:hAnsi="Arial"/>
          <w:lang w:val="en-US"/>
        </w:rPr>
        <w:t xml:space="preserve">, Master Thesis, </w:t>
      </w:r>
      <w:proofErr w:type="spellStart"/>
      <w:r>
        <w:rPr>
          <w:rFonts w:ascii="Arial" w:hAnsi="Arial"/>
          <w:lang w:val="en-US"/>
        </w:rPr>
        <w:t>Universität</w:t>
      </w:r>
      <w:proofErr w:type="spellEnd"/>
      <w:r>
        <w:rPr>
          <w:rFonts w:ascii="Arial" w:hAnsi="Arial"/>
          <w:lang w:val="en-US"/>
        </w:rPr>
        <w:t xml:space="preserve"> Potsdam</w:t>
      </w:r>
    </w:p>
    <w:sectPr w:rsidR="004519C0" w:rsidRPr="00FE3F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B1C" w:rsidRDefault="00E66B1C">
      <w:r>
        <w:separator/>
      </w:r>
    </w:p>
  </w:endnote>
  <w:endnote w:type="continuationSeparator" w:id="0">
    <w:p w:rsidR="00E66B1C" w:rsidRDefault="00E66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B1C" w:rsidRDefault="00E66B1C">
      <w:r>
        <w:rPr>
          <w:color w:val="000000"/>
        </w:rPr>
        <w:separator/>
      </w:r>
    </w:p>
  </w:footnote>
  <w:footnote w:type="continuationSeparator" w:id="0">
    <w:p w:rsidR="00E66B1C" w:rsidRDefault="00E66B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E14DA"/>
    <w:multiLevelType w:val="multilevel"/>
    <w:tmpl w:val="3170E592"/>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519C0"/>
    <w:rsid w:val="004519C0"/>
    <w:rsid w:val="00E66B1C"/>
    <w:rsid w:val="00FE3F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200"/>
      <w:ind w:left="720"/>
    </w:pPr>
  </w:style>
  <w:style w:type="paragraph" w:customStyle="1" w:styleId="ObjektmitPfeilspitze">
    <w:name w:val="Objekt mit Pfeilspitze"/>
    <w:basedOn w:val="Standard"/>
    <w:rPr>
      <w:rFonts w:ascii="Mangal" w:hAnsi="Mangal"/>
      <w:sz w:val="35"/>
    </w:rPr>
  </w:style>
  <w:style w:type="paragraph" w:customStyle="1" w:styleId="ObjektmitSchatten">
    <w:name w:val="Objekt mit Schatten"/>
    <w:basedOn w:val="Standard"/>
    <w:rPr>
      <w:rFonts w:ascii="Mangal" w:hAnsi="Mangal"/>
      <w:sz w:val="35"/>
    </w:rPr>
  </w:style>
  <w:style w:type="paragraph" w:customStyle="1" w:styleId="ObjektohneFllung">
    <w:name w:val="Objekt ohne Füllung"/>
    <w:basedOn w:val="Standard"/>
    <w:rPr>
      <w:rFonts w:ascii="Mangal" w:hAnsi="Mangal"/>
      <w:sz w:val="35"/>
    </w:rPr>
  </w:style>
  <w:style w:type="paragraph" w:customStyle="1" w:styleId="ObjektohneFllungundLinie">
    <w:name w:val="Objekt ohne Füllung und Linie"/>
    <w:basedOn w:val="Standard"/>
    <w:rPr>
      <w:rFonts w:ascii="Mangal" w:hAnsi="Mangal"/>
      <w:sz w:val="35"/>
    </w:rPr>
  </w:style>
  <w:style w:type="paragraph" w:customStyle="1" w:styleId="TextkrperBlocksatz">
    <w:name w:val="Textkörper Blocksatz"/>
    <w:basedOn w:val="Standard"/>
    <w:rPr>
      <w:rFonts w:ascii="Mangal" w:hAnsi="Mangal"/>
      <w:sz w:val="35"/>
    </w:rPr>
  </w:style>
  <w:style w:type="paragraph" w:customStyle="1" w:styleId="Titel1">
    <w:name w:val="Titel1"/>
    <w:basedOn w:val="Standard"/>
    <w:pPr>
      <w:jc w:val="center"/>
    </w:pPr>
    <w:rPr>
      <w:rFonts w:ascii="Mangal" w:hAnsi="Mangal"/>
      <w:sz w:val="35"/>
    </w:rPr>
  </w:style>
  <w:style w:type="paragraph" w:customStyle="1" w:styleId="Titel2">
    <w:name w:val="Titel2"/>
    <w:basedOn w:val="Standard"/>
    <w:pPr>
      <w:spacing w:before="57" w:after="57"/>
      <w:ind w:right="113"/>
      <w:jc w:val="center"/>
    </w:pPr>
    <w:rPr>
      <w:rFonts w:ascii="Mangal" w:hAnsi="Mangal"/>
      <w:sz w:val="35"/>
    </w:rPr>
  </w:style>
  <w:style w:type="paragraph" w:customStyle="1" w:styleId="berschrift1">
    <w:name w:val="Überschrift1"/>
    <w:basedOn w:val="Standard"/>
    <w:pPr>
      <w:spacing w:before="238" w:after="119"/>
    </w:pPr>
    <w:rPr>
      <w:rFonts w:ascii="Mangal" w:hAnsi="Mangal"/>
      <w:sz w:val="35"/>
    </w:rPr>
  </w:style>
  <w:style w:type="paragraph" w:customStyle="1" w:styleId="berschrift2">
    <w:name w:val="Überschrift2"/>
    <w:basedOn w:val="Standard"/>
    <w:pPr>
      <w:spacing w:before="238" w:after="119"/>
    </w:pPr>
    <w:rPr>
      <w:rFonts w:ascii="Mangal" w:hAnsi="Mangal"/>
      <w:sz w:val="35"/>
    </w:rPr>
  </w:style>
  <w:style w:type="paragraph" w:customStyle="1" w:styleId="Malinie">
    <w:name w:val="Maßlinie"/>
    <w:basedOn w:val="Standard"/>
    <w:rPr>
      <w:rFonts w:ascii="Mangal" w:hAnsi="Mangal"/>
      <w:sz w:val="35"/>
    </w:rPr>
  </w:style>
  <w:style w:type="paragraph" w:customStyle="1" w:styleId="BlankSlideLTGliederung1">
    <w:name w:val="Blank Slide~LT~Gliederung 1"/>
    <w:pPr>
      <w:widowControl/>
      <w:spacing w:after="283"/>
    </w:pPr>
    <w:rPr>
      <w:rFonts w:ascii="Mangal" w:eastAsia="Tahoma" w:hAnsi="Mangal" w:cs="Arial"/>
      <w:sz w:val="63"/>
    </w:rPr>
  </w:style>
  <w:style w:type="paragraph" w:customStyle="1" w:styleId="BlankSlideLTGliederung2">
    <w:name w:val="Blank Slide~LT~Gliederung 2"/>
    <w:basedOn w:val="BlankSlideLTGliederung1"/>
    <w:pPr>
      <w:spacing w:after="227"/>
    </w:pPr>
    <w:rPr>
      <w:sz w:val="56"/>
    </w:rPr>
  </w:style>
  <w:style w:type="paragraph" w:customStyle="1" w:styleId="BlankSlideLTGliederung3">
    <w:name w:val="Blank Slide~LT~Gliederung 3"/>
    <w:basedOn w:val="BlankSlideLTGliederung2"/>
    <w:pPr>
      <w:spacing w:after="170"/>
    </w:pPr>
    <w:rPr>
      <w:sz w:val="48"/>
    </w:rPr>
  </w:style>
  <w:style w:type="paragraph" w:customStyle="1" w:styleId="BlankSlideLTGliederung4">
    <w:name w:val="Blank Slide~LT~Gliederung 4"/>
    <w:basedOn w:val="BlankSlideLTGliederung3"/>
    <w:pPr>
      <w:spacing w:after="113"/>
    </w:pPr>
    <w:rPr>
      <w:sz w:val="40"/>
    </w:rPr>
  </w:style>
  <w:style w:type="paragraph" w:customStyle="1" w:styleId="BlankSlideLTGliederung5">
    <w:name w:val="Blank Slide~LT~Gliederung 5"/>
    <w:basedOn w:val="BlankSlideLTGliederung4"/>
    <w:pPr>
      <w:spacing w:after="57"/>
    </w:pPr>
  </w:style>
  <w:style w:type="paragraph" w:customStyle="1" w:styleId="BlankSlideLTGliederung6">
    <w:name w:val="Blank Slide~LT~Gliederung 6"/>
    <w:basedOn w:val="BlankSlideLTGliederung5"/>
  </w:style>
  <w:style w:type="paragraph" w:customStyle="1" w:styleId="BlankSlideLTGliederung7">
    <w:name w:val="Blank Slide~LT~Gliederung 7"/>
    <w:basedOn w:val="BlankSlideLTGliederung6"/>
  </w:style>
  <w:style w:type="paragraph" w:customStyle="1" w:styleId="BlankSlideLTGliederung8">
    <w:name w:val="Blank Slide~LT~Gliederung 8"/>
    <w:basedOn w:val="BlankSlideLTGliederung7"/>
  </w:style>
  <w:style w:type="paragraph" w:customStyle="1" w:styleId="BlankSlideLTGliederung9">
    <w:name w:val="Blank Slide~LT~Gliederung 9"/>
    <w:basedOn w:val="BlankSlideLTGliederung8"/>
  </w:style>
  <w:style w:type="paragraph" w:customStyle="1" w:styleId="BlankSlideLTTitel">
    <w:name w:val="Blank Slide~LT~Titel"/>
    <w:pPr>
      <w:widowControl/>
      <w:jc w:val="center"/>
    </w:pPr>
    <w:rPr>
      <w:rFonts w:ascii="Mangal" w:eastAsia="Tahoma" w:hAnsi="Mangal" w:cs="Arial"/>
      <w:sz w:val="88"/>
    </w:rPr>
  </w:style>
  <w:style w:type="paragraph" w:customStyle="1" w:styleId="BlankSlideLTUntertitel">
    <w:name w:val="Blank Slide~LT~Untertitel"/>
    <w:pPr>
      <w:widowControl/>
      <w:jc w:val="center"/>
    </w:pPr>
    <w:rPr>
      <w:rFonts w:ascii="Mangal" w:eastAsia="Tahoma" w:hAnsi="Mangal" w:cs="Arial"/>
      <w:sz w:val="64"/>
    </w:rPr>
  </w:style>
  <w:style w:type="paragraph" w:customStyle="1" w:styleId="BlankSlideLTNotizen">
    <w:name w:val="Blank Slide~LT~Notizen"/>
    <w:pPr>
      <w:widowControl/>
      <w:ind w:left="340" w:hanging="340"/>
    </w:pPr>
    <w:rPr>
      <w:rFonts w:ascii="Mangal" w:eastAsia="Tahoma" w:hAnsi="Mangal" w:cs="Arial"/>
      <w:sz w:val="40"/>
    </w:rPr>
  </w:style>
  <w:style w:type="paragraph" w:customStyle="1" w:styleId="BlankSlideLTHintergrundobjekte">
    <w:name w:val="Blank Slide~LT~Hintergrundobjekte"/>
    <w:pPr>
      <w:widowControl/>
    </w:pPr>
    <w:rPr>
      <w:rFonts w:eastAsia="Tahoma" w:cs="Arial"/>
    </w:rPr>
  </w:style>
  <w:style w:type="paragraph" w:customStyle="1" w:styleId="BlankSlideLTHintergrund">
    <w:name w:val="Blank Slide~LT~Hintergrund"/>
    <w:pPr>
      <w:widowControl/>
    </w:pPr>
    <w:rPr>
      <w:rFonts w:eastAsia="Tahoma" w:cs="Arial"/>
    </w:rPr>
  </w:style>
  <w:style w:type="paragraph" w:customStyle="1" w:styleId="default">
    <w:name w:val="default"/>
    <w:pPr>
      <w:widowControl/>
    </w:pPr>
    <w:rPr>
      <w:rFonts w:ascii="Mangal" w:eastAsia="Tahoma" w:hAnsi="Mangal" w:cs="Arial"/>
      <w:sz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Hintergrundobjekte">
    <w:name w:val="Hintergrundobjekte"/>
    <w:pPr>
      <w:widowControl/>
    </w:pPr>
    <w:rPr>
      <w:rFonts w:eastAsia="Tahoma" w:cs="Arial"/>
    </w:rPr>
  </w:style>
  <w:style w:type="paragraph" w:customStyle="1" w:styleId="Hintergrund">
    <w:name w:val="Hintergrund"/>
    <w:pPr>
      <w:widowControl/>
    </w:pPr>
    <w:rPr>
      <w:rFonts w:eastAsia="Tahoma" w:cs="Arial"/>
    </w:rPr>
  </w:style>
  <w:style w:type="paragraph" w:customStyle="1" w:styleId="Notizen">
    <w:name w:val="Notizen"/>
    <w:pPr>
      <w:widowControl/>
      <w:ind w:left="340" w:hanging="340"/>
    </w:pPr>
    <w:rPr>
      <w:rFonts w:ascii="Mangal" w:eastAsia="Tahoma" w:hAnsi="Mangal" w:cs="Arial"/>
      <w:sz w:val="40"/>
    </w:rPr>
  </w:style>
  <w:style w:type="paragraph" w:customStyle="1" w:styleId="Gliederung1">
    <w:name w:val="Gliederung 1"/>
    <w:pPr>
      <w:widowControl/>
      <w:spacing w:after="283"/>
    </w:pPr>
    <w:rPr>
      <w:rFonts w:ascii="Mangal" w:eastAsia="Tahoma" w:hAnsi="Mangal" w:cs="Arial"/>
      <w:sz w:val="63"/>
    </w:rPr>
  </w:style>
  <w:style w:type="paragraph" w:customStyle="1" w:styleId="Gliederung2">
    <w:name w:val="Gliederung 2"/>
    <w:basedOn w:val="Gliederung1"/>
    <w:pPr>
      <w:spacing w:after="227"/>
    </w:pPr>
    <w:rPr>
      <w:sz w:val="56"/>
    </w:rPr>
  </w:style>
  <w:style w:type="paragraph" w:customStyle="1" w:styleId="Gliederung3">
    <w:name w:val="Gliederung 3"/>
    <w:basedOn w:val="Gliederung2"/>
    <w:pPr>
      <w:spacing w:after="170"/>
    </w:pPr>
    <w:rPr>
      <w:sz w:val="48"/>
    </w:rPr>
  </w:style>
  <w:style w:type="paragraph" w:customStyle="1" w:styleId="Gliederung4">
    <w:name w:val="Gliederung 4"/>
    <w:basedOn w:val="Gliederung3"/>
    <w:pPr>
      <w:spacing w:after="113"/>
    </w:pPr>
    <w:rPr>
      <w:sz w:val="40"/>
    </w:rPr>
  </w:style>
  <w:style w:type="paragraph" w:customStyle="1" w:styleId="Gliederung5">
    <w:name w:val="Gliederung 5"/>
    <w:basedOn w:val="Gliederung4"/>
    <w:pPr>
      <w:spacing w:after="57"/>
    </w:pPr>
  </w:style>
  <w:style w:type="paragraph" w:customStyle="1" w:styleId="Gliederung6">
    <w:name w:val="Gliederung 6"/>
    <w:basedOn w:val="Gliederung5"/>
  </w:style>
  <w:style w:type="paragraph" w:customStyle="1" w:styleId="Gliederung7">
    <w:name w:val="Gliederung 7"/>
    <w:basedOn w:val="Gliederung6"/>
  </w:style>
  <w:style w:type="paragraph" w:customStyle="1" w:styleId="Gliederung8">
    <w:name w:val="Gliederung 8"/>
    <w:basedOn w:val="Gliederung7"/>
  </w:style>
  <w:style w:type="paragraph" w:customStyle="1" w:styleId="Gliederung9">
    <w:name w:val="Gliederung 9"/>
    <w:basedOn w:val="Gliederung8"/>
  </w:style>
  <w:style w:type="numbering" w:customStyle="1" w:styleId="WWNum2">
    <w:name w:val="WWNum2"/>
    <w:basedOn w:val="KeineListe"/>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200"/>
      <w:ind w:left="720"/>
    </w:pPr>
  </w:style>
  <w:style w:type="paragraph" w:customStyle="1" w:styleId="ObjektmitPfeilspitze">
    <w:name w:val="Objekt mit Pfeilspitze"/>
    <w:basedOn w:val="Standard"/>
    <w:rPr>
      <w:rFonts w:ascii="Mangal" w:hAnsi="Mangal"/>
      <w:sz w:val="35"/>
    </w:rPr>
  </w:style>
  <w:style w:type="paragraph" w:customStyle="1" w:styleId="ObjektmitSchatten">
    <w:name w:val="Objekt mit Schatten"/>
    <w:basedOn w:val="Standard"/>
    <w:rPr>
      <w:rFonts w:ascii="Mangal" w:hAnsi="Mangal"/>
      <w:sz w:val="35"/>
    </w:rPr>
  </w:style>
  <w:style w:type="paragraph" w:customStyle="1" w:styleId="ObjektohneFllung">
    <w:name w:val="Objekt ohne Füllung"/>
    <w:basedOn w:val="Standard"/>
    <w:rPr>
      <w:rFonts w:ascii="Mangal" w:hAnsi="Mangal"/>
      <w:sz w:val="35"/>
    </w:rPr>
  </w:style>
  <w:style w:type="paragraph" w:customStyle="1" w:styleId="ObjektohneFllungundLinie">
    <w:name w:val="Objekt ohne Füllung und Linie"/>
    <w:basedOn w:val="Standard"/>
    <w:rPr>
      <w:rFonts w:ascii="Mangal" w:hAnsi="Mangal"/>
      <w:sz w:val="35"/>
    </w:rPr>
  </w:style>
  <w:style w:type="paragraph" w:customStyle="1" w:styleId="TextkrperBlocksatz">
    <w:name w:val="Textkörper Blocksatz"/>
    <w:basedOn w:val="Standard"/>
    <w:rPr>
      <w:rFonts w:ascii="Mangal" w:hAnsi="Mangal"/>
      <w:sz w:val="35"/>
    </w:rPr>
  </w:style>
  <w:style w:type="paragraph" w:customStyle="1" w:styleId="Titel1">
    <w:name w:val="Titel1"/>
    <w:basedOn w:val="Standard"/>
    <w:pPr>
      <w:jc w:val="center"/>
    </w:pPr>
    <w:rPr>
      <w:rFonts w:ascii="Mangal" w:hAnsi="Mangal"/>
      <w:sz w:val="35"/>
    </w:rPr>
  </w:style>
  <w:style w:type="paragraph" w:customStyle="1" w:styleId="Titel2">
    <w:name w:val="Titel2"/>
    <w:basedOn w:val="Standard"/>
    <w:pPr>
      <w:spacing w:before="57" w:after="57"/>
      <w:ind w:right="113"/>
      <w:jc w:val="center"/>
    </w:pPr>
    <w:rPr>
      <w:rFonts w:ascii="Mangal" w:hAnsi="Mangal"/>
      <w:sz w:val="35"/>
    </w:rPr>
  </w:style>
  <w:style w:type="paragraph" w:customStyle="1" w:styleId="berschrift1">
    <w:name w:val="Überschrift1"/>
    <w:basedOn w:val="Standard"/>
    <w:pPr>
      <w:spacing w:before="238" w:after="119"/>
    </w:pPr>
    <w:rPr>
      <w:rFonts w:ascii="Mangal" w:hAnsi="Mangal"/>
      <w:sz w:val="35"/>
    </w:rPr>
  </w:style>
  <w:style w:type="paragraph" w:customStyle="1" w:styleId="berschrift2">
    <w:name w:val="Überschrift2"/>
    <w:basedOn w:val="Standard"/>
    <w:pPr>
      <w:spacing w:before="238" w:after="119"/>
    </w:pPr>
    <w:rPr>
      <w:rFonts w:ascii="Mangal" w:hAnsi="Mangal"/>
      <w:sz w:val="35"/>
    </w:rPr>
  </w:style>
  <w:style w:type="paragraph" w:customStyle="1" w:styleId="Malinie">
    <w:name w:val="Maßlinie"/>
    <w:basedOn w:val="Standard"/>
    <w:rPr>
      <w:rFonts w:ascii="Mangal" w:hAnsi="Mangal"/>
      <w:sz w:val="35"/>
    </w:rPr>
  </w:style>
  <w:style w:type="paragraph" w:customStyle="1" w:styleId="BlankSlideLTGliederung1">
    <w:name w:val="Blank Slide~LT~Gliederung 1"/>
    <w:pPr>
      <w:widowControl/>
      <w:spacing w:after="283"/>
    </w:pPr>
    <w:rPr>
      <w:rFonts w:ascii="Mangal" w:eastAsia="Tahoma" w:hAnsi="Mangal" w:cs="Arial"/>
      <w:sz w:val="63"/>
    </w:rPr>
  </w:style>
  <w:style w:type="paragraph" w:customStyle="1" w:styleId="BlankSlideLTGliederung2">
    <w:name w:val="Blank Slide~LT~Gliederung 2"/>
    <w:basedOn w:val="BlankSlideLTGliederung1"/>
    <w:pPr>
      <w:spacing w:after="227"/>
    </w:pPr>
    <w:rPr>
      <w:sz w:val="56"/>
    </w:rPr>
  </w:style>
  <w:style w:type="paragraph" w:customStyle="1" w:styleId="BlankSlideLTGliederung3">
    <w:name w:val="Blank Slide~LT~Gliederung 3"/>
    <w:basedOn w:val="BlankSlideLTGliederung2"/>
    <w:pPr>
      <w:spacing w:after="170"/>
    </w:pPr>
    <w:rPr>
      <w:sz w:val="48"/>
    </w:rPr>
  </w:style>
  <w:style w:type="paragraph" w:customStyle="1" w:styleId="BlankSlideLTGliederung4">
    <w:name w:val="Blank Slide~LT~Gliederung 4"/>
    <w:basedOn w:val="BlankSlideLTGliederung3"/>
    <w:pPr>
      <w:spacing w:after="113"/>
    </w:pPr>
    <w:rPr>
      <w:sz w:val="40"/>
    </w:rPr>
  </w:style>
  <w:style w:type="paragraph" w:customStyle="1" w:styleId="BlankSlideLTGliederung5">
    <w:name w:val="Blank Slide~LT~Gliederung 5"/>
    <w:basedOn w:val="BlankSlideLTGliederung4"/>
    <w:pPr>
      <w:spacing w:after="57"/>
    </w:pPr>
  </w:style>
  <w:style w:type="paragraph" w:customStyle="1" w:styleId="BlankSlideLTGliederung6">
    <w:name w:val="Blank Slide~LT~Gliederung 6"/>
    <w:basedOn w:val="BlankSlideLTGliederung5"/>
  </w:style>
  <w:style w:type="paragraph" w:customStyle="1" w:styleId="BlankSlideLTGliederung7">
    <w:name w:val="Blank Slide~LT~Gliederung 7"/>
    <w:basedOn w:val="BlankSlideLTGliederung6"/>
  </w:style>
  <w:style w:type="paragraph" w:customStyle="1" w:styleId="BlankSlideLTGliederung8">
    <w:name w:val="Blank Slide~LT~Gliederung 8"/>
    <w:basedOn w:val="BlankSlideLTGliederung7"/>
  </w:style>
  <w:style w:type="paragraph" w:customStyle="1" w:styleId="BlankSlideLTGliederung9">
    <w:name w:val="Blank Slide~LT~Gliederung 9"/>
    <w:basedOn w:val="BlankSlideLTGliederung8"/>
  </w:style>
  <w:style w:type="paragraph" w:customStyle="1" w:styleId="BlankSlideLTTitel">
    <w:name w:val="Blank Slide~LT~Titel"/>
    <w:pPr>
      <w:widowControl/>
      <w:jc w:val="center"/>
    </w:pPr>
    <w:rPr>
      <w:rFonts w:ascii="Mangal" w:eastAsia="Tahoma" w:hAnsi="Mangal" w:cs="Arial"/>
      <w:sz w:val="88"/>
    </w:rPr>
  </w:style>
  <w:style w:type="paragraph" w:customStyle="1" w:styleId="BlankSlideLTUntertitel">
    <w:name w:val="Blank Slide~LT~Untertitel"/>
    <w:pPr>
      <w:widowControl/>
      <w:jc w:val="center"/>
    </w:pPr>
    <w:rPr>
      <w:rFonts w:ascii="Mangal" w:eastAsia="Tahoma" w:hAnsi="Mangal" w:cs="Arial"/>
      <w:sz w:val="64"/>
    </w:rPr>
  </w:style>
  <w:style w:type="paragraph" w:customStyle="1" w:styleId="BlankSlideLTNotizen">
    <w:name w:val="Blank Slide~LT~Notizen"/>
    <w:pPr>
      <w:widowControl/>
      <w:ind w:left="340" w:hanging="340"/>
    </w:pPr>
    <w:rPr>
      <w:rFonts w:ascii="Mangal" w:eastAsia="Tahoma" w:hAnsi="Mangal" w:cs="Arial"/>
      <w:sz w:val="40"/>
    </w:rPr>
  </w:style>
  <w:style w:type="paragraph" w:customStyle="1" w:styleId="BlankSlideLTHintergrundobjekte">
    <w:name w:val="Blank Slide~LT~Hintergrundobjekte"/>
    <w:pPr>
      <w:widowControl/>
    </w:pPr>
    <w:rPr>
      <w:rFonts w:eastAsia="Tahoma" w:cs="Arial"/>
    </w:rPr>
  </w:style>
  <w:style w:type="paragraph" w:customStyle="1" w:styleId="BlankSlideLTHintergrund">
    <w:name w:val="Blank Slide~LT~Hintergrund"/>
    <w:pPr>
      <w:widowControl/>
    </w:pPr>
    <w:rPr>
      <w:rFonts w:eastAsia="Tahoma" w:cs="Arial"/>
    </w:rPr>
  </w:style>
  <w:style w:type="paragraph" w:customStyle="1" w:styleId="default">
    <w:name w:val="default"/>
    <w:pPr>
      <w:widowControl/>
    </w:pPr>
    <w:rPr>
      <w:rFonts w:ascii="Mangal" w:eastAsia="Tahoma" w:hAnsi="Mangal" w:cs="Arial"/>
      <w:sz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Hintergrundobjekte">
    <w:name w:val="Hintergrundobjekte"/>
    <w:pPr>
      <w:widowControl/>
    </w:pPr>
    <w:rPr>
      <w:rFonts w:eastAsia="Tahoma" w:cs="Arial"/>
    </w:rPr>
  </w:style>
  <w:style w:type="paragraph" w:customStyle="1" w:styleId="Hintergrund">
    <w:name w:val="Hintergrund"/>
    <w:pPr>
      <w:widowControl/>
    </w:pPr>
    <w:rPr>
      <w:rFonts w:eastAsia="Tahoma" w:cs="Arial"/>
    </w:rPr>
  </w:style>
  <w:style w:type="paragraph" w:customStyle="1" w:styleId="Notizen">
    <w:name w:val="Notizen"/>
    <w:pPr>
      <w:widowControl/>
      <w:ind w:left="340" w:hanging="340"/>
    </w:pPr>
    <w:rPr>
      <w:rFonts w:ascii="Mangal" w:eastAsia="Tahoma" w:hAnsi="Mangal" w:cs="Arial"/>
      <w:sz w:val="40"/>
    </w:rPr>
  </w:style>
  <w:style w:type="paragraph" w:customStyle="1" w:styleId="Gliederung1">
    <w:name w:val="Gliederung 1"/>
    <w:pPr>
      <w:widowControl/>
      <w:spacing w:after="283"/>
    </w:pPr>
    <w:rPr>
      <w:rFonts w:ascii="Mangal" w:eastAsia="Tahoma" w:hAnsi="Mangal" w:cs="Arial"/>
      <w:sz w:val="63"/>
    </w:rPr>
  </w:style>
  <w:style w:type="paragraph" w:customStyle="1" w:styleId="Gliederung2">
    <w:name w:val="Gliederung 2"/>
    <w:basedOn w:val="Gliederung1"/>
    <w:pPr>
      <w:spacing w:after="227"/>
    </w:pPr>
    <w:rPr>
      <w:sz w:val="56"/>
    </w:rPr>
  </w:style>
  <w:style w:type="paragraph" w:customStyle="1" w:styleId="Gliederung3">
    <w:name w:val="Gliederung 3"/>
    <w:basedOn w:val="Gliederung2"/>
    <w:pPr>
      <w:spacing w:after="170"/>
    </w:pPr>
    <w:rPr>
      <w:sz w:val="48"/>
    </w:rPr>
  </w:style>
  <w:style w:type="paragraph" w:customStyle="1" w:styleId="Gliederung4">
    <w:name w:val="Gliederung 4"/>
    <w:basedOn w:val="Gliederung3"/>
    <w:pPr>
      <w:spacing w:after="113"/>
    </w:pPr>
    <w:rPr>
      <w:sz w:val="40"/>
    </w:rPr>
  </w:style>
  <w:style w:type="paragraph" w:customStyle="1" w:styleId="Gliederung5">
    <w:name w:val="Gliederung 5"/>
    <w:basedOn w:val="Gliederung4"/>
    <w:pPr>
      <w:spacing w:after="57"/>
    </w:pPr>
  </w:style>
  <w:style w:type="paragraph" w:customStyle="1" w:styleId="Gliederung6">
    <w:name w:val="Gliederung 6"/>
    <w:basedOn w:val="Gliederung5"/>
  </w:style>
  <w:style w:type="paragraph" w:customStyle="1" w:styleId="Gliederung7">
    <w:name w:val="Gliederung 7"/>
    <w:basedOn w:val="Gliederung6"/>
  </w:style>
  <w:style w:type="paragraph" w:customStyle="1" w:styleId="Gliederung8">
    <w:name w:val="Gliederung 8"/>
    <w:basedOn w:val="Gliederung7"/>
  </w:style>
  <w:style w:type="paragraph" w:customStyle="1" w:styleId="Gliederung9">
    <w:name w:val="Gliederung 9"/>
    <w:basedOn w:val="Gliederung8"/>
  </w:style>
  <w:style w:type="numbering" w:customStyle="1" w:styleId="WWNum2">
    <w:name w:val="WWNum2"/>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5696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Salimchik</dc:creator>
  <cp:lastModifiedBy>Salimchik</cp:lastModifiedBy>
  <cp:revision>1</cp:revision>
  <dcterms:created xsi:type="dcterms:W3CDTF">2014-06-11T17:36:00Z</dcterms:created>
  <dcterms:modified xsi:type="dcterms:W3CDTF">2014-06-20T10:03:00Z</dcterms:modified>
</cp:coreProperties>
</file>