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252" w:lineRule="auto" w:after="80"/>
        <w:jc w:val="center"/>
      </w:pPr>
      <w:r>
        <w:rPr>
          <w:rFonts w:ascii="Arial" w:hAnsi="Arial"/>
          <w:b/>
          <w:color w:val="1F4E79"/>
          <w:sz w:val="52"/>
        </w:rPr>
        <w:t>Market Data Feed Ingestion System</w:t>
      </w:r>
    </w:p>
    <w:p>
      <w:pPr>
        <w:spacing w:line="252" w:lineRule="auto" w:after="80"/>
        <w:jc w:val="center"/>
      </w:pPr>
      <w:r>
        <w:rPr>
          <w:rFonts w:ascii="Arial" w:hAnsi="Arial"/>
          <w:color w:val="5B6770"/>
          <w:sz w:val="26"/>
        </w:rPr>
        <w:t>Low-Latency Delivery, Book Building, Colo Infrastructure, Gap Recovery, and Monitoring</w:t>
      </w:r>
    </w:p>
    <w:p>
      <w:pPr>
        <w:spacing w:before="600" w:line="252" w:lineRule="auto" w:after="80"/>
        <w:jc w:val="center"/>
      </w:pPr>
      <w:r>
        <w:rPr>
          <w:rFonts w:ascii="Arial" w:hAnsi="Arial"/>
          <w:b/>
          <w:color w:val="2E7D32"/>
          <w:sz w:val="24"/>
        </w:rPr>
        <w:t>Review Draft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sz="12" w:val="single" w:color="1F4E79"/>
              <w:left w:sz="12" w:val="single" w:color="1F4E79"/>
              <w:bottom w:sz="12" w:val="single" w:color="1F4E79"/>
              <w:right w:sz="12" w:val="single" w:color="1F4E79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20"/>
              </w:rPr>
              <w:t>Senior interview framing</w:t>
            </w:r>
            <w:r>
              <w:rPr>
                <w:rFonts w:ascii="Arial" w:hAnsi="Arial"/>
                <w:sz w:val="18"/>
              </w:rPr>
              <w:br/>
              <w:t>The design intentionally separates ultra-low-latency delivery from correctness-heavy book construction, replay, and analytics. The hot path is kept small and deterministic; the reliable path is replayable, auditable, and recovery-oriented.</w:t>
            </w:r>
          </w:p>
        </w:tc>
      </w:tr>
    </w:tbl>
    <w:p>
      <w:pPr>
        <w:spacing w:line="252" w:lineRule="auto" w:after="80"/>
      </w:pPr>
    </w:p>
    <w:p>
      <w:pPr>
        <w:pStyle w:val="Heading1"/>
        <w:spacing w:line="252" w:lineRule="auto"/>
      </w:pPr>
      <w:r>
        <w:t>1. Executive Summary</w:t>
      </w:r>
    </w:p>
    <w:p>
      <w:pPr>
        <w:spacing w:line="252" w:lineRule="auto" w:after="80"/>
      </w:pPr>
      <w:r>
        <w:rPr>
          <w:b/>
        </w:rPr>
        <w:t xml:space="preserve">Goal: </w:t>
      </w:r>
      <w:r>
        <w:t>ingest heterogeneous exchange market data protocols, deliver minimum-latency normalized or raw events to trading clients, and simultaneously support durable book building, recovery, replay, and analytics without coupling slow work to the hot path.</w:t>
      </w:r>
    </w:p>
    <w:p>
      <w:pPr>
        <w:pStyle w:val="ListBullet"/>
        <w:spacing w:after="80" w:line="252" w:lineRule="auto"/>
      </w:pPr>
      <w:r>
        <w:t>Use exchange-specific feed handlers behind common protocol, sequence, recovery, and normalization interfaces.</w:t>
      </w:r>
    </w:p>
    <w:p>
      <w:pPr>
        <w:pStyle w:val="ListBullet"/>
        <w:spacing w:after="80" w:line="252" w:lineRule="auto"/>
      </w:pPr>
      <w:r>
        <w:t>Run a dual-path architecture: hot path for trading clients, reliable path for raw journaling, book building, snapshots, and replay.</w:t>
      </w:r>
    </w:p>
    <w:p>
      <w:pPr>
        <w:pStyle w:val="ListBullet"/>
        <w:spacing w:after="80" w:line="252" w:lineRule="auto"/>
      </w:pPr>
      <w:r>
        <w:t>Deploy in exchange colocation with redundant A/B feeds, physically diverse cross-connects, low-latency switches, PTP time sync, and NUMA-aware servers.</w:t>
      </w:r>
    </w:p>
    <w:p>
      <w:pPr>
        <w:pStyle w:val="ListBullet"/>
        <w:spacing w:after="80" w:line="252" w:lineRule="auto"/>
      </w:pPr>
      <w:r>
        <w:t>On packet gaps, degrade explicitly: detect, contain by channel/instrument, fill from backup line, request retransmission, mark stale if needed, and keep unaffected flows live.</w:t>
      </w:r>
    </w:p>
    <w:p>
      <w:pPr>
        <w:pStyle w:val="ListBullet"/>
        <w:spacing w:after="80" w:line="252" w:lineRule="auto"/>
      </w:pPr>
      <w:r>
        <w:t>Monitor not only liveness but data quality: sequence gaps, A/B divergence, recovery latency, clock drift, NIC drops, publisher lag, book staleness, and client delivery health.</w:t>
      </w:r>
    </w:p>
    <w:p>
      <w:pPr>
        <w:pStyle w:val="Heading1"/>
        <w:spacing w:line="252" w:lineRule="auto"/>
      </w:pPr>
      <w:r>
        <w:t>2. Requirements and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9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Design Response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Heterogeneous protocols</w:t>
            </w:r>
          </w:p>
        </w:tc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Exchanges use binary multicast, TCP recovery, FIX, snapshots, and proprietary schemas.</w:t>
            </w:r>
          </w:p>
        </w:tc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Adapter per exchange; common normalized event model; preserve raw packets for exact replay.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Low-latency clients</w:t>
            </w:r>
          </w:p>
        </w:tc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Trading systems need deterministic microsecond to low millisecond delivery.</w:t>
            </w:r>
          </w:p>
        </w:tc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Minimal decode, sequence health, compact binary publish, shared memory or multicast, no durable storage dependency on hot path.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Book building</w:t>
            </w:r>
          </w:p>
        </w:tc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Risk/UI/research need correct and replayable books, not necessarily the lowest latency.</w:t>
            </w:r>
          </w:p>
        </w:tc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Reliable event log, ordered per-instrument workers, snapshot generation, replay/resync support.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Unreliable networks</w:t>
            </w:r>
          </w:p>
        </w:tc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Packet loss, out-of-order arrival, and feed divergence are expected.</w:t>
            </w:r>
          </w:p>
        </w:tc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A/B arbitration, bounded gap buffer, retransmission, stale markers, and channel-level containment.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Need proof of correctness and latency attribution.</w:t>
            </w:r>
          </w:p>
        </w:tc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Hardware timestamping, PTP monitoring, p99/p99.9 latency, gap/recovery metrics, and data-quality alerts.</w:t>
            </w:r>
          </w:p>
        </w:tc>
      </w:tr>
    </w:tbl>
    <w:p>
      <w:pPr>
        <w:pStyle w:val="Heading1"/>
        <w:spacing w:line="252" w:lineRule="auto"/>
      </w:pPr>
      <w:r>
        <w:t>3. Architecture Overview</w:t>
      </w:r>
    </w:p>
    <w:p>
      <w:pPr>
        <w:spacing w:line="252" w:lineRule="auto" w:after="80"/>
      </w:pPr>
      <w:r>
        <w:drawing>
          <wp:inline xmlns:a="http://schemas.openxmlformats.org/drawingml/2006/main" xmlns:pic="http://schemas.openxmlformats.org/drawingml/2006/picture">
            <wp:extent cx="6492240" cy="3787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52" w:lineRule="auto" w:after="80"/>
        <w:jc w:val="center"/>
      </w:pPr>
      <w:r>
        <w:rPr>
          <w:i/>
          <w:color w:val="5B6770"/>
          <w:sz w:val="18"/>
        </w:rPr>
        <w:t>Figure 1. Dual-path architecture: latency-sensitive publishing is separated from durable storage, book construction, and replay.</w:t>
      </w:r>
    </w:p>
    <w:p>
      <w:pPr>
        <w:pStyle w:val="ListBullet"/>
        <w:spacing w:after="80" w:line="252" w:lineRule="auto"/>
      </w:pPr>
      <w:r>
        <w:t>The hot path does only what is required to safely publish: receive, timestamp, decode, sequence-check, minimally normalize, and fan out.</w:t>
      </w:r>
    </w:p>
    <w:p>
      <w:pPr>
        <w:pStyle w:val="ListBullet"/>
        <w:spacing w:after="80" w:line="252" w:lineRule="auto"/>
      </w:pPr>
      <w:r>
        <w:t>The reliable path persists raw packets and normalized events so decoder bugs, book bugs, or recovery issues can be replayed and corrected.</w:t>
      </w:r>
    </w:p>
    <w:p>
      <w:pPr>
        <w:pStyle w:val="ListBullet"/>
        <w:spacing w:after="80" w:line="252" w:lineRule="auto"/>
      </w:pPr>
      <w:r>
        <w:t>Kafka-like infrastructure can be useful after the durable path, but should not sit on the critical trading publish path.</w:t>
      </w:r>
    </w:p>
    <w:p>
      <w:pPr>
        <w:pStyle w:val="ListBullet"/>
        <w:spacing w:after="80" w:line="252" w:lineRule="auto"/>
      </w:pPr>
      <w:r>
        <w:t>Clients may subscribe to raw exchange-native data, lightly normalized binary events, or higher-level book snapshots depending on their SLA.</w:t>
      </w:r>
    </w:p>
    <w:p>
      <w:pPr>
        <w:spacing w:before="80" w:after="80" w:line="252" w:lineRule="auto"/>
        <w:ind w:left="216" w:right="216"/>
        <w:shd w:fill="F3F6F9"/>
      </w:pPr>
      <w:r>
        <w:rPr>
          <w:rFonts w:ascii="Courier New" w:hAnsi="Courier New"/>
          <w:color w:val="111111"/>
          <w:sz w:val="18"/>
        </w:rPr>
        <w:t>Exchange -&gt; NIC timestamp -&gt; FeedHandler -&gt; SequenceTracker -&gt; Publisher -&gt; Trading Clients</w:t>
        <w:br/>
        <w:t xml:space="preserve">                        \-&gt; RawJournal -&gt; Replay -&gt; BookBuilder -&gt; Snapshots / Analytics</w:t>
      </w:r>
    </w:p>
    <w:p>
      <w:pPr>
        <w:pStyle w:val="Heading1"/>
        <w:spacing w:line="252" w:lineRule="auto"/>
      </w:pPr>
      <w:r>
        <w:t>4. Colocation Infrastructure for Minimum Latency</w:t>
      </w:r>
    </w:p>
    <w:p>
      <w:pPr>
        <w:spacing w:line="252" w:lineRule="auto" w:after="80"/>
      </w:pPr>
      <w:r>
        <w:drawing>
          <wp:inline xmlns:a="http://schemas.openxmlformats.org/drawingml/2006/main" xmlns:pic="http://schemas.openxmlformats.org/drawingml/2006/picture">
            <wp:extent cx="6492240" cy="3967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_inf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52" w:lineRule="auto" w:after="80"/>
        <w:jc w:val="center"/>
      </w:pPr>
      <w:r>
        <w:rPr>
          <w:i/>
          <w:color w:val="5B6770"/>
          <w:sz w:val="18"/>
        </w:rPr>
        <w:t>Figure 2. Critical colo servers receive both A and B feeds in normal operation; publishing can be split by channel with hot standby.</w:t>
      </w:r>
    </w:p>
    <w:p>
      <w:pPr>
        <w:pStyle w:val="Heading2"/>
        <w:spacing w:line="252" w:lineRule="auto"/>
      </w:pPr>
      <w:r>
        <w:t>4.1 Physical and Network Setup</w:t>
      </w:r>
    </w:p>
    <w:p>
      <w:pPr>
        <w:pStyle w:val="ListBullet"/>
        <w:spacing w:after="80" w:line="252" w:lineRule="auto"/>
      </w:pPr>
      <w:r>
        <w:t>Place latency-critical servers in the exchange colo or nearest market data distribution point.</w:t>
      </w:r>
    </w:p>
    <w:p>
      <w:pPr>
        <w:pStyle w:val="ListBullet"/>
        <w:spacing w:after="80" w:line="252" w:lineRule="auto"/>
      </w:pPr>
      <w:r>
        <w:t>Use redundant cross-connects for Feed A and Feed B, ideally physically diverse through separate switch paths and NIC ports.</w:t>
      </w:r>
    </w:p>
    <w:p>
      <w:pPr>
        <w:pStyle w:val="ListBullet"/>
        <w:spacing w:after="80" w:line="252" w:lineRule="auto"/>
      </w:pPr>
      <w:r>
        <w:t>Use low-latency, cut-through switches with hardware multicast support and PTP boundary/transparent clock capabilities.</w:t>
      </w:r>
    </w:p>
    <w:p>
      <w:pPr>
        <w:pStyle w:val="ListBullet"/>
        <w:spacing w:after="80" w:line="252" w:lineRule="auto"/>
      </w:pPr>
      <w:r>
        <w:t>Keep the hot path free of routers, firewalls, general-purpose load balancers, storage writes, or inspection appliances.</w:t>
      </w:r>
    </w:p>
    <w:p>
      <w:pPr>
        <w:pStyle w:val="ListBullet"/>
        <w:spacing w:after="80" w:line="252" w:lineRule="auto"/>
      </w:pPr>
      <w:r>
        <w:t>Separate market data receive, client publish, storage/replication, management, and time-sync networks.</w:t>
      </w:r>
    </w:p>
    <w:p>
      <w:pPr>
        <w:pStyle w:val="Heading2"/>
        <w:spacing w:line="252" w:lineRule="auto"/>
      </w:pPr>
      <w:r>
        <w:t>4.2 Server and OS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Optimization</w:t>
            </w:r>
          </w:p>
        </w:tc>
        <w:tc>
          <w:tcPr>
            <w:tcW w:type="dxa" w:w="67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CPU pinning and isolated cores</w:t>
            </w:r>
          </w:p>
        </w:tc>
        <w:tc>
          <w:tcPr>
            <w:tcW w:type="dxa" w:w="676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Prevents scheduler noise and keeps feed processing deterministic.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NUMA locality</w:t>
            </w:r>
          </w:p>
        </w:tc>
        <w:tc>
          <w:tcPr>
            <w:tcW w:type="dxa" w:w="676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Keeps NIC, receive thread, buffers, and publisher on the same socket.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Kernel bypass or busy polling</w:t>
            </w:r>
          </w:p>
        </w:tc>
        <w:tc>
          <w:tcPr>
            <w:tcW w:type="dxa" w:w="676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Reduces syscall/interrupt overhead and latency jitter.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Disable deep C-states and frequency scaling</w:t>
            </w:r>
          </w:p>
        </w:tc>
        <w:tc>
          <w:tcPr>
            <w:tcW w:type="dxa" w:w="676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Avoids wakeup and clock-rate jitter.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Bounded queues and preallocated buffers</w:t>
            </w:r>
          </w:p>
        </w:tc>
        <w:tc>
          <w:tcPr>
            <w:tcW w:type="dxa" w:w="676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Prevents GC/allocation spikes and memory blowups during bursts.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No synchronous logging in hot path</w:t>
            </w:r>
          </w:p>
        </w:tc>
        <w:tc>
          <w:tcPr>
            <w:tcW w:type="dxa" w:w="676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Avoids disk or I/O stalls directly affecting trading delivery.</w:t>
            </w:r>
          </w:p>
        </w:tc>
      </w:tr>
    </w:tbl>
    <w:p>
      <w:pPr>
        <w:pStyle w:val="Heading1"/>
        <w:spacing w:line="252" w:lineRule="auto"/>
      </w:pPr>
      <w:r>
        <w:t>5. Time Synchronization</w:t>
      </w:r>
    </w:p>
    <w:p>
      <w:pPr>
        <w:spacing w:line="252" w:lineRule="auto" w:after="80"/>
      </w:pPr>
      <w:r>
        <w:rPr>
          <w:b/>
        </w:rPr>
        <w:t xml:space="preserve">Preferred model: </w:t>
      </w:r>
      <w:r>
        <w:t>GPS or exchange-approved clock source -&gt; PTP grandmaster -&gt; PTP-aware switches -&gt; PTP-capable NIC hardware clocks -&gt; feed handler timestamps.</w:t>
      </w:r>
    </w:p>
    <w:p>
      <w:pPr>
        <w:pStyle w:val="ListBullet"/>
        <w:spacing w:after="80" w:line="252" w:lineRule="auto"/>
      </w:pPr>
      <w:r>
        <w:t>Use PTP hardware timestamping for latency-sensitive systems; NTP is acceptable only for non-critical management and reporting hosts.</w:t>
      </w:r>
    </w:p>
    <w:p>
      <w:pPr>
        <w:pStyle w:val="ListBullet"/>
        <w:spacing w:after="80" w:line="252" w:lineRule="auto"/>
      </w:pPr>
      <w:r>
        <w:t>Record exchange timestamp, NIC hardware receive timestamp, software receive timestamp, publish timestamp, and optionally client receive timestamp.</w:t>
      </w:r>
    </w:p>
    <w:p>
      <w:pPr>
        <w:pStyle w:val="ListBullet"/>
        <w:spacing w:after="80" w:line="252" w:lineRule="auto"/>
      </w:pPr>
      <w:r>
        <w:t>Alert on PTP unlock, clock offset above threshold, grandmaster changes, NIC timestamp failures, and clock steps.</w:t>
      </w:r>
    </w:p>
    <w:p>
      <w:pPr>
        <w:pStyle w:val="ListBullet"/>
        <w:spacing w:after="80" w:line="252" w:lineRule="auto"/>
      </w:pPr>
      <w:r>
        <w:t>Good timestamping turns latency from a guess into a measurable path: exchange-to-NIC, NIC-to-handler, handler-to-publisher, and publisher-to-client.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Timestamp</w:t>
            </w:r>
          </w:p>
        </w:tc>
        <w:tc>
          <w:tcPr>
            <w:tcW w:type="dxa" w:w="705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exchange_timestamp</w:t>
            </w:r>
          </w:p>
        </w:tc>
        <w:tc>
          <w:tcPr>
            <w:tcW w:type="dxa" w:w="70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Helps estimate exchange-to-colo transit and exchange-side event ordering when provided.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nic_hardware_receive_timestamp</w:t>
            </w:r>
          </w:p>
        </w:tc>
        <w:tc>
          <w:tcPr>
            <w:tcW w:type="dxa" w:w="70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Best local ingress timestamp; avoids application scheduling noise.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software_receive_timestamp</w:t>
            </w:r>
          </w:p>
        </w:tc>
        <w:tc>
          <w:tcPr>
            <w:tcW w:type="dxa" w:w="70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Measures NIC-to-application and polling overhead.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publish_timestamp</w:t>
            </w:r>
          </w:p>
        </w:tc>
        <w:tc>
          <w:tcPr>
            <w:tcW w:type="dxa" w:w="70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Measures handler-to-client fanout latency.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client_receive_timestamp</w:t>
            </w:r>
          </w:p>
        </w:tc>
        <w:tc>
          <w:tcPr>
            <w:tcW w:type="dxa" w:w="705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Optional end-to-end validation for important clients.</w:t>
            </w:r>
          </w:p>
        </w:tc>
      </w:tr>
    </w:tbl>
    <w:p>
      <w:pPr>
        <w:pStyle w:val="Heading1"/>
        <w:spacing w:line="252" w:lineRule="auto"/>
      </w:pPr>
      <w:r>
        <w:t>6. Packet Gap Handling and Live Trading Safety</w:t>
      </w:r>
    </w:p>
    <w:p>
      <w:pPr>
        <w:spacing w:line="252" w:lineRule="auto" w:after="80"/>
      </w:pPr>
      <w:r>
        <w:drawing>
          <wp:inline xmlns:a="http://schemas.openxmlformats.org/drawingml/2006/main" xmlns:pic="http://schemas.openxmlformats.org/drawingml/2006/picture">
            <wp:extent cx="6492240" cy="3787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52" w:lineRule="auto" w:after="80"/>
        <w:jc w:val="center"/>
      </w:pPr>
      <w:r>
        <w:rPr>
          <w:i/>
          <w:color w:val="5B6770"/>
          <w:sz w:val="18"/>
        </w:rPr>
        <w:t>Figure 3. Packet gaps are contained and signaled instead of silently corrupting live trading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D7DA"/>
            <w:tcBorders>
              <w:top w:sz="12" w:val="single" w:color="B3261E"/>
              <w:left w:sz="12" w:val="single" w:color="B3261E"/>
              <w:bottom w:sz="12" w:val="single" w:color="B3261E"/>
              <w:right w:sz="12" w:val="single" w:color="B3261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20"/>
              </w:rPr>
              <w:t>Non-negotiable safety rule</w:t>
            </w:r>
            <w:r>
              <w:rPr>
                <w:rFonts w:ascii="Arial" w:hAnsi="Arial"/>
                <w:sz w:val="18"/>
              </w:rPr>
              <w:br/>
              <w:t>Never silently apply out-of-sequence deltas to a trading book and publish the book as clean. Missing one cancel, modify, or execution can make the book wrong.</w:t>
            </w:r>
          </w:p>
        </w:tc>
      </w:tr>
    </w:tbl>
    <w:p>
      <w:pPr>
        <w:spacing w:line="252" w:lineRule="auto" w:after="80"/>
      </w:pPr>
    </w:p>
    <w:p>
      <w:pPr>
        <w:pStyle w:val="Heading2"/>
        <w:spacing w:line="252" w:lineRule="auto"/>
      </w:pPr>
      <w:r>
        <w:t>6.1 Gap Handling Flow</w:t>
      </w:r>
    </w:p>
    <w:p>
      <w:pPr>
        <w:pStyle w:val="ListNumber"/>
        <w:spacing w:after="80" w:line="252" w:lineRule="auto"/>
      </w:pPr>
      <w:r>
        <w:t>Detect the gap using venue/channel sequence numbers.</w:t>
      </w:r>
    </w:p>
    <w:p>
      <w:pPr>
        <w:pStyle w:val="ListNumber"/>
        <w:spacing w:after="80" w:line="252" w:lineRule="auto"/>
      </w:pPr>
      <w:r>
        <w:t>Temporarily buffer later packets in a bounded per-channel gap buffer.</w:t>
      </w:r>
    </w:p>
    <w:p>
      <w:pPr>
        <w:pStyle w:val="ListNumber"/>
        <w:spacing w:after="80" w:line="252" w:lineRule="auto"/>
      </w:pPr>
      <w:r>
        <w:t>Try to fill the missing sequence from the redundant A/B line.</w:t>
      </w:r>
    </w:p>
    <w:p>
      <w:pPr>
        <w:pStyle w:val="ListNumber"/>
        <w:spacing w:after="80" w:line="252" w:lineRule="auto"/>
      </w:pPr>
      <w:r>
        <w:t>If both lines missed it, request retransmission from the exchange recovery channel.</w:t>
      </w:r>
    </w:p>
    <w:p>
      <w:pPr>
        <w:pStyle w:val="ListNumber"/>
        <w:spacing w:after="80" w:line="252" w:lineRule="auto"/>
      </w:pPr>
      <w:r>
        <w:t>If recovery succeeds, apply missing messages in order, drain the buffer, and mark the channel live again.</w:t>
      </w:r>
    </w:p>
    <w:p>
      <w:pPr>
        <w:pStyle w:val="ListNumber"/>
        <w:spacing w:after="80" w:line="252" w:lineRule="auto"/>
      </w:pPr>
      <w:r>
        <w:t>If recovery fails or exceeds policy, mark affected channel/instruments stale and start snapshot resync.</w:t>
      </w:r>
    </w:p>
    <w:p>
      <w:pPr>
        <w:pStyle w:val="ListNumber"/>
        <w:spacing w:after="80" w:line="252" w:lineRule="auto"/>
      </w:pPr>
      <w:r>
        <w:t>Keep unrelated venues, channels, and instruments running.</w:t>
      </w:r>
    </w:p>
    <w:p>
      <w:pPr>
        <w:pStyle w:val="Heading2"/>
        <w:spacing w:line="252" w:lineRule="auto"/>
      </w:pPr>
      <w:r>
        <w:t>6.2 Client Contract During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5040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02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Strict clean feed</w:t>
            </w:r>
          </w:p>
        </w:tc>
        <w:tc>
          <w:tcPr>
            <w:tcW w:type="dxa" w:w="504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Pause affected channel, publish GapDetected/ChannelStale, recover, then replay in order.</w:t>
            </w:r>
          </w:p>
        </w:tc>
        <w:tc>
          <w:tcPr>
            <w:tcW w:type="dxa" w:w="302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Book builders, risk, consumers that require gap-free state.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Fast feed with markers</w:t>
            </w:r>
          </w:p>
        </w:tc>
        <w:tc>
          <w:tcPr>
            <w:tcW w:type="dxa" w:w="504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Publish sequence numbers and explicit gap/stale markers; sophisticated clients enforce their own policy.</w:t>
            </w:r>
          </w:p>
        </w:tc>
        <w:tc>
          <w:tcPr>
            <w:tcW w:type="dxa" w:w="302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Trading engines that build local books and can make venue-specific decisions.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Snapshot resync mode</w:t>
            </w:r>
          </w:p>
        </w:tc>
        <w:tc>
          <w:tcPr>
            <w:tcW w:type="dxa" w:w="504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Discard stale book, reload snapshot, replay deltas from snapshot sequence, mark live after validation.</w:t>
            </w:r>
          </w:p>
        </w:tc>
        <w:tc>
          <w:tcPr>
            <w:tcW w:type="dxa" w:w="302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Longer recovery failures, book corruption, or recovery-channel outages.</w:t>
            </w:r>
          </w:p>
        </w:tc>
      </w:tr>
    </w:tbl>
    <w:p>
      <w:pPr>
        <w:pStyle w:val="Heading1"/>
        <w:spacing w:line="252" w:lineRule="auto"/>
      </w:pPr>
      <w:r>
        <w:t>7. Failover and Data Consistency Across Colo Servers</w:t>
      </w:r>
    </w:p>
    <w:p>
      <w:pPr>
        <w:pStyle w:val="Heading2"/>
        <w:spacing w:line="252" w:lineRule="auto"/>
      </w:pPr>
      <w:r>
        <w:t>7.1 Feed-Level Failover</w:t>
      </w:r>
    </w:p>
    <w:p>
      <w:pPr>
        <w:pStyle w:val="ListBullet"/>
        <w:spacing w:after="80" w:line="252" w:lineRule="auto"/>
      </w:pPr>
      <w:r>
        <w:t>Subscribe to Feed A and Feed B concurrently; do not leave the secondary line idle.</w:t>
      </w:r>
    </w:p>
    <w:p>
      <w:pPr>
        <w:pStyle w:val="ListBullet"/>
        <w:spacing w:after="80" w:line="252" w:lineRule="auto"/>
      </w:pPr>
      <w:r>
        <w:t>Deduplicate by sequence number and publish the first valid copy of each sequence when operating in lowest-latency mode.</w:t>
      </w:r>
    </w:p>
    <w:p>
      <w:pPr>
        <w:pStyle w:val="ListBullet"/>
        <w:spacing w:after="80" w:line="252" w:lineRule="auto"/>
      </w:pPr>
      <w:r>
        <w:t>Use the slower or backup line to fill packet loss before going to retransmission.</w:t>
      </w:r>
    </w:p>
    <w:p>
      <w:pPr>
        <w:pStyle w:val="ListBullet"/>
        <w:spacing w:after="80" w:line="252" w:lineRule="auto"/>
      </w:pPr>
      <w:r>
        <w:t>Track A/B divergence, packet loss, and arrival skew as first-class metrics.</w:t>
      </w:r>
    </w:p>
    <w:p>
      <w:pPr>
        <w:pStyle w:val="Heading2"/>
        <w:spacing w:line="252" w:lineRule="auto"/>
      </w:pPr>
      <w:r>
        <w:t>7.2 Server-Level Failover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475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Normal Data View</w:t>
            </w:r>
          </w:p>
        </w:tc>
        <w:tc>
          <w:tcPr>
            <w:tcW w:type="dxa" w:w="273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Full hot-hot receive</w:t>
            </w:r>
          </w:p>
        </w:tc>
        <w:tc>
          <w:tcPr>
            <w:tcW w:type="dxa" w:w="475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Critical servers receive the same logical A/B feed data; arrival times and packet loss may differ.</w:t>
            </w:r>
          </w:p>
        </w:tc>
        <w:tc>
          <w:tcPr>
            <w:tcW w:type="dxa" w:w="273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Fastest failover; higher bandwidth and CPU cost.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Sharded active-active</w:t>
            </w:r>
          </w:p>
        </w:tc>
        <w:tc>
          <w:tcPr>
            <w:tcW w:type="dxa" w:w="475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Servers own different venue/channel/instrument ranges.</w:t>
            </w:r>
          </w:p>
        </w:tc>
        <w:tc>
          <w:tcPr>
            <w:tcW w:type="dxa" w:w="273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Scales better; failover requires backup subscriptions or spare capacity.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Full receive, sharded publish</w:t>
            </w:r>
          </w:p>
        </w:tc>
        <w:tc>
          <w:tcPr>
            <w:tcW w:type="dxa" w:w="475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Multiple servers receive all raw data but publish different channel sets.</w:t>
            </w:r>
          </w:p>
        </w:tc>
        <w:tc>
          <w:tcPr>
            <w:tcW w:type="dxa" w:w="273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Good balance: capacity sharing plus warm failover.</w:t>
            </w:r>
          </w:p>
        </w:tc>
      </w:tr>
      <w:tr>
        <w:tc>
          <w:tcPr>
            <w:tcW w:type="dxa" w:w="3024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Separate geographic colos</w:t>
            </w:r>
          </w:p>
        </w:tc>
        <w:tc>
          <w:tcPr>
            <w:tcW w:type="dxa" w:w="475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Eventually may replicate normalized data, but not identical low-latency arrival.</w:t>
            </w:r>
          </w:p>
        </w:tc>
        <w:tc>
          <w:tcPr>
            <w:tcW w:type="dxa" w:w="273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Useful for DR/analytics; not a substitute for local venue feed in latency-sensitive trading.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sz="12" w:val="single" w:color="1F4E79"/>
              <w:left w:sz="12" w:val="single" w:color="1F4E79"/>
              <w:bottom w:sz="12" w:val="single" w:color="1F4E79"/>
              <w:right w:sz="12" w:val="single" w:color="1F4E79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20"/>
              </w:rPr>
              <w:t>Direct answer: do different colo servers have the same data?</w:t>
            </w:r>
            <w:r>
              <w:rPr>
                <w:rFonts w:ascii="Arial" w:hAnsi="Arial"/>
                <w:sz w:val="18"/>
              </w:rPr>
              <w:br/>
              <w:t>For hot standby low-latency servers, usually yes at the logical sequence level: both receive the same A/B exchange feeds in normal operation. They will not have identical packet timing, hardware timestamps, or packet-loss patterns. For sharded capacity servers, not necessarily; for different geographic colos, data may be replicated later but will not arrive with the same latency profile.</w:t>
            </w:r>
          </w:p>
        </w:tc>
      </w:tr>
    </w:tbl>
    <w:p>
      <w:pPr>
        <w:spacing w:line="252" w:lineRule="auto" w:after="80"/>
      </w:pPr>
    </w:p>
    <w:p>
      <w:pPr>
        <w:pStyle w:val="Heading1"/>
        <w:spacing w:line="252" w:lineRule="auto"/>
      </w:pPr>
      <w:r>
        <w:t>8. High-Level Object-Oriented Design</w:t>
      </w:r>
    </w:p>
    <w:p>
      <w:pPr>
        <w:spacing w:line="252" w:lineRule="auto" w:after="80"/>
      </w:pPr>
      <w:r>
        <w:drawing>
          <wp:inline xmlns:a="http://schemas.openxmlformats.org/drawingml/2006/main" xmlns:pic="http://schemas.openxmlformats.org/drawingml/2006/picture">
            <wp:extent cx="6492240" cy="3787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d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52" w:lineRule="auto" w:after="80"/>
        <w:jc w:val="center"/>
      </w:pPr>
      <w:r>
        <w:rPr>
          <w:i/>
          <w:color w:val="5B6770"/>
          <w:sz w:val="18"/>
        </w:rPr>
        <w:t>Figure 4. OOD component boundaries with low-allocation implementation inside hot-path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200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ExchangeFeedHandler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Owns a venue/channel session and composes receiver, decoder, sequence tracker, recovery manager, normalizer, and publisher.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PacketReceiver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Reads packets from kernel bypass, busy-poll sockets, or standard sockets depending on SLA.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ProtocolDecoder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Converts exchange-specific binary/FIX/proprietary messages into decoded internal messages.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SequenceTracker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Validates ordering, detects duplicates, out-of-order packets, and gaps.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LineArbitrator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Merges A/B feeds, deduplicates, and fills gaps from the alternate line.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GapRecoveryManager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Requests retransmission and coordinates replay of recovered messages.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EventNormalizer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Converts decoded exchange messages into compact normalized events without losing fields needed for book replay.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LowLatencyPublisher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Publishes compact binary events to trading clients through shared memory, multicast, or low-latency transport.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RawJournalWriter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Persists original packets asynchronously for replay and audit.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BookBuilder</w:t>
            </w:r>
          </w:p>
        </w:tc>
        <w:tc>
          <w:tcPr>
            <w:tcW w:type="dxa" w:w="72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Applies ordered events per instrument/channel and manages live/stale/recovering state.</w:t>
            </w:r>
          </w:p>
        </w:tc>
      </w:tr>
    </w:tbl>
    <w:p>
      <w:pPr>
        <w:spacing w:before="80" w:after="80" w:line="252" w:lineRule="auto"/>
        <w:ind w:left="216" w:right="216"/>
        <w:shd w:fill="F3F6F9"/>
      </w:pPr>
      <w:r>
        <w:rPr>
          <w:rFonts w:ascii="Courier New" w:hAnsi="Courier New"/>
          <w:color w:val="111111"/>
          <w:sz w:val="18"/>
        </w:rPr>
        <w:t>interface PacketReceiver { RawPacket receive(); }</w:t>
        <w:br/>
        <w:t>interface ProtocolDecoder { DecodedMessage decode(RawPacket p); }</w:t>
        <w:br/>
        <w:t>interface SequenceTracker { SequenceStatus check(long sequence); }</w:t>
        <w:br/>
        <w:t>interface GapRecoveryManager { void recover(long fromSeq, long toSeq); }</w:t>
        <w:br/>
        <w:t>interface EventNormalizer { NormalizedMarketEvent normalize(DecodedMessage m); }</w:t>
        <w:br/>
        <w:t>interface EventPublisher { void publish(NormalizedMarketEvent e); }</w:t>
      </w:r>
    </w:p>
    <w:p>
      <w:pPr>
        <w:pStyle w:val="Heading1"/>
        <w:spacing w:line="252" w:lineRule="auto"/>
      </w:pPr>
      <w:r>
        <w:t>9. Performance Optimizations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Hot Path</w:t>
            </w:r>
          </w:p>
        </w:tc>
        <w:tc>
          <w:tcPr>
            <w:tcW w:type="dxa" w:w="561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Avoid</w:t>
            </w:r>
          </w:p>
        </w:tc>
      </w:tr>
      <w:tr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Compact binary schemas or raw pass-through</w:t>
            </w:r>
          </w:p>
        </w:tc>
        <w:tc>
          <w:tcPr>
            <w:tcW w:type="dxa" w:w="561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JSON, text serialization, object-heavy conversion.</w:t>
            </w:r>
          </w:p>
        </w:tc>
      </w:tr>
      <w:tr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Preallocated buffers, flyweights, structs</w:t>
            </w:r>
          </w:p>
        </w:tc>
        <w:tc>
          <w:tcPr>
            <w:tcW w:type="dxa" w:w="561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Heap allocation per event and GC-sensitive object graphs.</w:t>
            </w:r>
          </w:p>
        </w:tc>
      </w:tr>
      <w:tr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Single-producer/single-consumer rings where possible</w:t>
            </w:r>
          </w:p>
        </w:tc>
        <w:tc>
          <w:tcPr>
            <w:tcW w:type="dxa" w:w="561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Locks, blocking queues, unbounded queues.</w:t>
            </w:r>
          </w:p>
        </w:tc>
      </w:tr>
      <w:tr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CPU/NIC/NUMA affinity</w:t>
            </w:r>
          </w:p>
        </w:tc>
        <w:tc>
          <w:tcPr>
            <w:tcW w:type="dxa" w:w="561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Cross-socket memory traffic and scheduler migration.</w:t>
            </w:r>
          </w:p>
        </w:tc>
      </w:tr>
      <w:tr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Bounded batching only within latency budget</w:t>
            </w:r>
          </w:p>
        </w:tc>
        <w:tc>
          <w:tcPr>
            <w:tcW w:type="dxa" w:w="561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Large batches that improve throughput but damage p99/p99.9 latency.</w:t>
            </w:r>
          </w:p>
        </w:tc>
      </w:tr>
      <w:tr>
        <w:tc>
          <w:tcPr>
            <w:tcW w:type="dxa" w:w="489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Explicit stale/gap status</w:t>
            </w:r>
          </w:p>
        </w:tc>
        <w:tc>
          <w:tcPr>
            <w:tcW w:type="dxa" w:w="5616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Silent continuation after data loss.</w:t>
            </w:r>
          </w:p>
        </w:tc>
      </w:tr>
    </w:tbl>
    <w:p>
      <w:pPr>
        <w:pStyle w:val="ListBullet"/>
        <w:spacing w:after="80" w:line="252" w:lineRule="auto"/>
      </w:pPr>
      <w:r>
        <w:t>Optimize the hot path for p99 and p99.9 latency, not only average throughput.</w:t>
      </w:r>
    </w:p>
    <w:p>
      <w:pPr>
        <w:pStyle w:val="ListBullet"/>
        <w:spacing w:after="80" w:line="252" w:lineRule="auto"/>
      </w:pPr>
      <w:r>
        <w:t>Optimize the book-building path for ordered correctness, replayability, and bounded lag.</w:t>
      </w:r>
    </w:p>
    <w:p>
      <w:pPr>
        <w:pStyle w:val="ListBullet"/>
        <w:spacing w:after="80" w:line="252" w:lineRule="auto"/>
      </w:pPr>
      <w:r>
        <w:t>Optimize the historical path for compression, scan efficiency, and reprocessing cost.</w:t>
      </w:r>
    </w:p>
    <w:p>
      <w:pPr>
        <w:pStyle w:val="ListBullet"/>
        <w:spacing w:after="80" w:line="252" w:lineRule="auto"/>
      </w:pPr>
      <w:r>
        <w:t>Do not let slow clients, durable writes, or recovery traffic block packet receive and trading publish loops.</w:t>
      </w:r>
    </w:p>
    <w:p>
      <w:pPr>
        <w:pStyle w:val="Heading1"/>
        <w:spacing w:line="252" w:lineRule="auto"/>
      </w:pPr>
      <w:r>
        <w:t>10. Monitoring and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63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Key Metrics / Alerts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Feed health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message rate, byte rate, heartbeat misses, sequence gaps, duplicates, out-of-order packets, A/B divergence.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Recovery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gap duration, retransmission requests, recovery success rate, recovery latency, unrecovered gaps, snapshot resync count.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Latency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NIC-to-decode, decode-to-normalize, normalize-to-publish, publish-to-client, p50/p95/p99/p99.9.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Book quality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book builder lag, stale books, crossed books, negative quantities, unknown order IDs, sequence mismatches.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Infrastructure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NIC drops, kernel drops, ring occupancy, CPU per pinned core, GC pauses if JVM, disk write latency, PTP offset.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Client delivery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per-client queue depth, disconnects, stale duration, slow-consumer drops, replay requests.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sz="12" w:val="single" w:color="D97706"/>
              <w:left w:sz="12" w:val="single" w:color="D97706"/>
              <w:bottom w:sz="12" w:val="single" w:color="D97706"/>
              <w:right w:sz="12" w:val="single" w:color="D97706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20"/>
              </w:rPr>
              <w:t>Operational target</w:t>
            </w:r>
            <w:r>
              <w:rPr>
                <w:rFonts w:ascii="Arial" w:hAnsi="Arial"/>
                <w:sz w:val="18"/>
              </w:rPr>
              <w:br/>
              <w:t>At any moment, operators should be able to answer: which venue/channel is affected, which sequence is missing, whether A or B lost it, whether retransmission is pending, which clients were marked stale, and which systems remain live.</w:t>
            </w:r>
          </w:p>
        </w:tc>
      </w:tr>
    </w:tbl>
    <w:p>
      <w:pPr>
        <w:spacing w:line="252" w:lineRule="auto" w:after="80"/>
      </w:pPr>
    </w:p>
    <w:p>
      <w:pPr>
        <w:pStyle w:val="Heading1"/>
        <w:spacing w:line="252" w:lineRule="auto"/>
      </w:pPr>
      <w:r>
        <w:t>11. Senior Interview Closing Summary</w:t>
      </w:r>
    </w:p>
    <w:p>
      <w:pPr>
        <w:spacing w:line="252" w:lineRule="auto" w:after="80"/>
      </w:pPr>
      <w:r>
        <w:rPr>
          <w:b/>
        </w:rPr>
        <w:t xml:space="preserve">The strongest design answer is not a single generic pipeline. </w:t>
      </w:r>
      <w:r>
        <w:t>Market data ingestion is a set of coordinated pipelines with different SLAs. The lowest-latency feed path must be short, deterministic, and explicitly sequence-aware. The reliable path must be durable, replayable, and correct enough to rebuild books after gaps, decoder changes, and operational incidents.</w:t>
      </w:r>
    </w:p>
    <w:p>
      <w:pPr>
        <w:pStyle w:val="ListBullet"/>
        <w:spacing w:after="80" w:line="252" w:lineRule="auto"/>
      </w:pPr>
      <w:r>
        <w:t>Use hot-hot A/B feed receipt for critical colo servers and first-valid sequence arbitration for minimum latency.</w:t>
      </w:r>
    </w:p>
    <w:p>
      <w:pPr>
        <w:pStyle w:val="ListBullet"/>
        <w:spacing w:after="80" w:line="252" w:lineRule="auto"/>
      </w:pPr>
      <w:r>
        <w:t>Use active/passive or active/active-with-fencing publishing depending on client deduplication capability.</w:t>
      </w:r>
    </w:p>
    <w:p>
      <w:pPr>
        <w:pStyle w:val="ListBullet"/>
        <w:spacing w:after="80" w:line="252" w:lineRule="auto"/>
      </w:pPr>
      <w:r>
        <w:t>Make stale data impossible to miss: emit gap, stale, recovery, and publisher epoch messages.</w:t>
      </w:r>
    </w:p>
    <w:p>
      <w:pPr>
        <w:pStyle w:val="ListBullet"/>
        <w:spacing w:after="80" w:line="252" w:lineRule="auto"/>
      </w:pPr>
      <w:r>
        <w:t>Do not corrupt live books: recover in order or mark stale and resync from snapshot.</w:t>
      </w:r>
    </w:p>
    <w:p>
      <w:pPr>
        <w:pStyle w:val="ListBullet"/>
        <w:spacing w:after="80" w:line="252" w:lineRule="auto"/>
      </w:pPr>
      <w:r>
        <w:t>Design failure domains around venue/channel/instrument so one gap does not stop the entire trading plant.</w:t>
      </w:r>
    </w:p>
    <w:p>
      <w:pPr>
        <w:spacing w:line="252" w:lineRule="auto" w:after="80"/>
      </w:pPr>
      <w:r>
        <w:br w:type="page"/>
      </w:r>
    </w:p>
    <w:p>
      <w:pPr>
        <w:pStyle w:val="Heading1"/>
        <w:spacing w:line="252" w:lineRule="auto"/>
      </w:pPr>
      <w:r>
        <w:t>12. Interview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91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Strong Answer Signal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How do you handle heterogeneous protocols?</w:t>
            </w:r>
          </w:p>
        </w:tc>
        <w:tc>
          <w:tcPr>
            <w:tcW w:type="dxa" w:w="69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Exchange adapters behind common decode, sequence, recovery, and normalization interfaces.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How do you keep latency low?</w:t>
            </w:r>
          </w:p>
        </w:tc>
        <w:tc>
          <w:tcPr>
            <w:tcW w:type="dxa" w:w="69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Minimal hot path, kernel bypass/busy polling, pinned cores, NUMA locality, compact binary events, no blocking storage or slow clients.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How do you build books correctly?</w:t>
            </w:r>
          </w:p>
        </w:tc>
        <w:tc>
          <w:tcPr>
            <w:tcW w:type="dxa" w:w="69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Ordered per-instrument processing, raw/event logs, stale state, replay, snapshot resync.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What happens on packet loss?</w:t>
            </w:r>
          </w:p>
        </w:tc>
        <w:tc>
          <w:tcPr>
            <w:tcW w:type="dxa" w:w="69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A/B fill, bounded buffer, retransmission, stale markers, channel-level containment.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Do colo servers have the same data?</w:t>
            </w:r>
          </w:p>
        </w:tc>
        <w:tc>
          <w:tcPr>
            <w:tcW w:type="dxa" w:w="69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Critical hot standby servers usually receive the same logical A/B feed data; timing/loss differ; sharded servers may not.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How do you prove latency?</w:t>
            </w:r>
          </w:p>
        </w:tc>
        <w:tc>
          <w:tcPr>
            <w:tcW w:type="dxa" w:w="69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PTP hardware timestamps and latency breakdown from NIC receive through client delivery.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How do you avoid split-brain?</w:t>
            </w:r>
          </w:p>
        </w:tc>
        <w:tc>
          <w:tcPr>
            <w:tcW w:type="dxa" w:w="691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>
              <w:rPr>
                <w:sz w:val="18"/>
              </w:rPr>
              <w:t>Publisher epoch, fencing, deterministic ownership, and sequence-based client deduplication.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770"/>
        <w:sz w:val="16"/>
      </w:rPr>
      <w:t>Market Data Feed Ingestion Design | Senior Interview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67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