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North Bridge &amp; Black Duck</w:t>
      </w:r>
    </w:p>
    <w:p>
      <w:pPr>
        <w:pStyle w:val="Heading5"/>
        <w:spacing w:before="27"/>
        <w:jc w:val="center"/>
      </w:pPr>
      <w:r>
        <w:rPr>
          <w:color w:val="3A3833"/>
        </w:rPr>
        <w:t xml:space="preserve">“The 2015 Future of Open Source Survey”</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Office of the CIO, U.S.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Chris Anderson, CEO, 3DR</w:t>
      </w:r>
    </w:p>
    <w:p>
      <w:pPr>
        <w:spacing w:before="27"/>
        <w:ind w:left="616" w:right="616" w:firstLine="0"/>
        <w:jc w:val="center"/>
        <w:rPr>
          <w:i/>
          <w:sz w:val="22"/>
        </w:rPr>
      </w:pPr>
      <w:r>
        <w:rPr>
          <w:i/>
          <w:color w:val="3A3833"/>
          <w:sz w:val="22"/>
        </w:rPr>
        <w:t xml:space="preserve">(Former Editor in Chief of Wired magazine and author of “The Long Tail”)</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  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(attribution notice)</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オープンソースプロジェクトのコミュニティは企業が自社製品に含まれるオープンソースソフトウェアのライセンスを尊重すると期待しています。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オープンソースコンプライアンスプログラム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オープンソースコンプライアンスポリシーとは、オープンソースソフトウェアの管理（利用と寄付の双方）を取り仕切るルール群です。Processes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図5コンプライアンスデューデリジェンスプロセスの例</w:t>
      </w:r>
    </w:p>
    <w:p>
      <w:pPr>
        <w:pStyle w:val="BodyText"/>
        <w:rPr>
          <w:i/>
          <w:sz w:val="18"/>
        </w:rPr>
      </w:pPr>
    </w:p>
    <w:p>
      <w:pPr>
        <w:pStyle w:val="Heading3"/>
        <w:spacing w:before="152"/>
      </w:pPr>
      <w:r>
        <w:rPr>
          <w:color w:val="009EDA"/>
          <w:w w:val="95"/>
        </w:rPr>
        <w:t xml:space="preserve">コンプライアンスチーム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非公式のトレーニングは下記のいずれか、あるいは全部を含む。</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ソースコードパッケージの配布を調整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  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  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  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Incoming licenses = Proprietary License + License A + License B + License C</w:t>
      </w:r>
    </w:p>
    <w:p>
      <w:pPr>
        <w:pStyle w:val="BodyText"/>
        <w:spacing w:before="29"/>
        <w:ind w:left="599" w:right="2187"/>
      </w:pPr>
      <w:r>
        <w:rPr>
          <w:color w:val="6D6E71"/>
        </w:rPr>
        <w:t xml:space="preserve">Outgoing license(s)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図19Incremental compliance</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