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 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 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 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 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 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 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 プロジェクトのコミュニティは企業が自社製品に含まれるオープンソース 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 コンプライアンス 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 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 コンプライアンス ポリシーとは、オープンソース 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図5コンプライアンス精査プロセスの例</w:t>
      </w:r>
    </w:p>
    <w:p>
      <w:pPr>
        <w:pStyle w:val="BodyText"/>
        <w:rPr>
          <w:i/>
          <w:sz w:val="18"/>
        </w:rPr>
      </w:pPr>
    </w:p>
    <w:p>
      <w:pPr>
        <w:pStyle w:val="Heading3"/>
        <w:spacing w:before="152"/>
      </w:pPr>
      <w:r>
        <w:rPr>
          <w:color w:val="009EDA"/>
          <w:w w:val="95"/>
        </w:rPr>
        <w:t xml:space="preserve">コンプライアンス 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 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非公式のトレーニングは下記のいずれか、あるいは全部を含みます。</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 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 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 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 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 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 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 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 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 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 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 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 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依存関係</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図19インクリメンタル コンプライアンス</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