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This page intentionally left blank.</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Open Source Compliance in the 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Contents</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Use of open source in enterprise IT has doubled since 2010.</w:t>
      </w:r>
    </w:p>
    <w:p>
      <w:pPr>
        <w:pStyle w:val="BodyText"/>
        <w:rPr>
          <w:sz w:val="18"/>
        </w:rPr>
      </w:pPr>
    </w:p>
    <w:p>
      <w:pPr>
        <w:pStyle w:val="BodyText"/>
        <w:ind w:left="616" w:right="616"/>
        <w:jc w:val="center"/>
      </w:pPr>
      <w:r>
        <w:rPr>
          <w:color w:val="3A3833"/>
        </w:rPr>
        <w:t xml:space="preserve">78% of surveyed companies run their businesses on open source.</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This page intentionally left blank.</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表2Examples of license compliance problems and how to avoid them</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表3Sample process compliance failures</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Corporate Development</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