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pacing w:line="520" w:lineRule="exact"/>
        <w:ind w:firstLine="0" w:firstLineChars="0"/>
        <w:jc w:val="center"/>
        <w:rPr>
          <w:rFonts w:hint="eastAsia" w:ascii="仿宋_GB2312" w:eastAsia="仿宋_GB2312"/>
          <w:b/>
          <w:sz w:val="30"/>
          <w:szCs w:val="30"/>
          <w:lang w:eastAsia="zh-CN"/>
        </w:rPr>
      </w:pP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湘潭</w:t>
      </w:r>
      <w:r>
        <w:rPr>
          <w:rFonts w:hint="eastAsia" w:ascii="仿宋_GB2312" w:eastAsia="仿宋_GB2312"/>
          <w:b/>
          <w:sz w:val="30"/>
          <w:szCs w:val="30"/>
        </w:rPr>
        <w:t>大学</w:t>
      </w: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计算机学院</w:t>
      </w:r>
      <w:r>
        <w:rPr>
          <w:rFonts w:hint="eastAsia" w:ascii="仿宋_GB2312" w:eastAsia="仿宋_GB2312"/>
          <w:b/>
          <w:sz w:val="30"/>
          <w:szCs w:val="30"/>
        </w:rPr>
        <w:t>毕业设计（论文）</w:t>
      </w: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开题</w:t>
      </w:r>
      <w:r>
        <w:rPr>
          <w:rFonts w:hint="eastAsia" w:ascii="仿宋_GB2312" w:eastAsia="仿宋_GB2312"/>
          <w:b/>
          <w:sz w:val="30"/>
          <w:szCs w:val="30"/>
        </w:rPr>
        <w:t>评分表</w:t>
      </w:r>
      <w:r>
        <w:rPr>
          <w:rFonts w:hint="eastAsia" w:ascii="仿宋_GB2312" w:eastAsia="仿宋_GB2312"/>
          <w:b/>
          <w:sz w:val="30"/>
          <w:szCs w:val="30"/>
          <w:lang w:eastAsia="zh-CN"/>
        </w:rPr>
        <w:t>（</w:t>
      </w: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辅修专业）</w:t>
      </w:r>
      <w:bookmarkStart w:id="0" w:name="_GoBack"/>
      <w:bookmarkEnd w:id="0"/>
    </w:p>
    <w:tbl>
      <w:tblPr>
        <w:tblStyle w:val="6"/>
        <w:tblW w:w="87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2022"/>
        <w:gridCol w:w="789"/>
        <w:gridCol w:w="1189"/>
        <w:gridCol w:w="802"/>
        <w:gridCol w:w="868"/>
        <w:gridCol w:w="527"/>
        <w:gridCol w:w="373"/>
        <w:gridCol w:w="13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2842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学生姓名</w:t>
            </w:r>
          </w:p>
        </w:tc>
        <w:tc>
          <w:tcPr>
            <w:tcW w:w="789" w:type="dxa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  <w:tc>
          <w:tcPr>
            <w:tcW w:w="1189" w:type="dxa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学号</w:t>
            </w:r>
          </w:p>
        </w:tc>
        <w:tc>
          <w:tcPr>
            <w:tcW w:w="1670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  <w:tc>
          <w:tcPr>
            <w:tcW w:w="900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班级</w:t>
            </w:r>
          </w:p>
        </w:tc>
        <w:tc>
          <w:tcPr>
            <w:tcW w:w="1357" w:type="dxa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2842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开题指导小组成员</w:t>
            </w:r>
          </w:p>
        </w:tc>
        <w:tc>
          <w:tcPr>
            <w:tcW w:w="5905" w:type="dxa"/>
            <w:gridSpan w:val="7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1" w:hRule="atLeast"/>
          <w:jc w:val="center"/>
        </w:trPr>
        <w:tc>
          <w:tcPr>
            <w:tcW w:w="2842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设计（论文）题目</w:t>
            </w:r>
          </w:p>
        </w:tc>
        <w:tc>
          <w:tcPr>
            <w:tcW w:w="5905" w:type="dxa"/>
            <w:gridSpan w:val="7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  <w:jc w:val="center"/>
        </w:trPr>
        <w:tc>
          <w:tcPr>
            <w:tcW w:w="820" w:type="dxa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序号</w:t>
            </w:r>
          </w:p>
        </w:tc>
        <w:tc>
          <w:tcPr>
            <w:tcW w:w="2022" w:type="dxa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评审项目</w:t>
            </w:r>
          </w:p>
        </w:tc>
        <w:tc>
          <w:tcPr>
            <w:tcW w:w="2780" w:type="dxa"/>
            <w:gridSpan w:val="3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参考评价内容</w:t>
            </w:r>
          </w:p>
        </w:tc>
        <w:tc>
          <w:tcPr>
            <w:tcW w:w="1395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评分标准</w:t>
            </w:r>
          </w:p>
        </w:tc>
        <w:tc>
          <w:tcPr>
            <w:tcW w:w="1730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分值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center"/>
        </w:trPr>
        <w:tc>
          <w:tcPr>
            <w:tcW w:w="820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1</w:t>
            </w:r>
          </w:p>
        </w:tc>
        <w:tc>
          <w:tcPr>
            <w:tcW w:w="2022" w:type="dxa"/>
            <w:vAlign w:val="center"/>
          </w:tcPr>
          <w:p>
            <w:pPr>
              <w:spacing w:line="400" w:lineRule="exact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工程复杂度</w:t>
            </w:r>
          </w:p>
        </w:tc>
        <w:tc>
          <w:tcPr>
            <w:tcW w:w="2780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选题</w:t>
            </w:r>
            <w:r>
              <w:rPr>
                <w:rFonts w:hint="eastAsia" w:ascii="仿宋_GB2312" w:eastAsia="仿宋_GB2312"/>
                <w:sz w:val="24"/>
              </w:rPr>
              <w:t>是否有具体的工程背景，是否是一个具体的工程项目，是否从工程中提炼出一个技术难度或关键问题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等</w:t>
            </w:r>
          </w:p>
        </w:tc>
        <w:tc>
          <w:tcPr>
            <w:tcW w:w="1395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730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3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center"/>
        </w:trPr>
        <w:tc>
          <w:tcPr>
            <w:tcW w:w="820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</w:t>
            </w:r>
          </w:p>
        </w:tc>
        <w:tc>
          <w:tcPr>
            <w:tcW w:w="2022" w:type="dxa"/>
            <w:vAlign w:val="center"/>
          </w:tcPr>
          <w:p>
            <w:pPr>
              <w:spacing w:line="400" w:lineRule="exact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专业适配度</w:t>
            </w:r>
          </w:p>
        </w:tc>
        <w:tc>
          <w:tcPr>
            <w:tcW w:w="2780" w:type="dxa"/>
            <w:gridSpan w:val="3"/>
            <w:vAlign w:val="center"/>
          </w:tcPr>
          <w:p>
            <w:pPr>
              <w:spacing w:line="400" w:lineRule="exact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</w:rPr>
              <w:t>是否符合培养目标，体现学科、专业特点和教学计划的基本要求，达到综合训练的目的</w:t>
            </w:r>
          </w:p>
        </w:tc>
        <w:tc>
          <w:tcPr>
            <w:tcW w:w="1395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730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820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3</w:t>
            </w:r>
          </w:p>
        </w:tc>
        <w:tc>
          <w:tcPr>
            <w:tcW w:w="2022" w:type="dxa"/>
            <w:vAlign w:val="center"/>
          </w:tcPr>
          <w:p>
            <w:pPr>
              <w:spacing w:line="400" w:lineRule="exact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设计（研究）方案</w:t>
            </w:r>
          </w:p>
        </w:tc>
        <w:tc>
          <w:tcPr>
            <w:tcW w:w="2780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选题</w:t>
            </w:r>
            <w:r>
              <w:rPr>
                <w:rFonts w:hint="eastAsia" w:ascii="仿宋_GB2312" w:eastAsia="仿宋_GB2312"/>
                <w:sz w:val="24"/>
              </w:rPr>
              <w:t>深度、难度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是否</w:t>
            </w:r>
            <w:r>
              <w:rPr>
                <w:rFonts w:hint="eastAsia" w:ascii="仿宋_GB2312" w:eastAsia="仿宋_GB2312"/>
                <w:sz w:val="24"/>
              </w:rPr>
              <w:t>适宜，工作量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是否适中；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设计（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研究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）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思路、方法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是否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正确</w:t>
            </w:r>
          </w:p>
        </w:tc>
        <w:tc>
          <w:tcPr>
            <w:tcW w:w="1395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730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820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4</w:t>
            </w:r>
          </w:p>
        </w:tc>
        <w:tc>
          <w:tcPr>
            <w:tcW w:w="2022" w:type="dxa"/>
            <w:vAlign w:val="center"/>
          </w:tcPr>
          <w:p>
            <w:pPr>
              <w:spacing w:line="400" w:lineRule="exact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表述情况</w:t>
            </w:r>
          </w:p>
        </w:tc>
        <w:tc>
          <w:tcPr>
            <w:tcW w:w="2780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开题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PPT、开题报告撰写质量以及表述和回答问题情况</w:t>
            </w:r>
          </w:p>
        </w:tc>
        <w:tc>
          <w:tcPr>
            <w:tcW w:w="1395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1730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2842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 w:val="0"/>
                <w:sz w:val="24"/>
              </w:rPr>
              <w:t>总分（用百分制）</w:t>
            </w:r>
          </w:p>
        </w:tc>
        <w:tc>
          <w:tcPr>
            <w:tcW w:w="5905" w:type="dxa"/>
            <w:gridSpan w:val="7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69" w:hRule="atLeast"/>
          <w:jc w:val="center"/>
        </w:trPr>
        <w:tc>
          <w:tcPr>
            <w:tcW w:w="8747" w:type="dxa"/>
            <w:gridSpan w:val="9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指导小组</w:t>
            </w:r>
            <w:r>
              <w:rPr>
                <w:rFonts w:hint="eastAsia" w:ascii="仿宋_GB2312" w:eastAsia="仿宋_GB2312"/>
                <w:b/>
                <w:sz w:val="28"/>
                <w:szCs w:val="28"/>
              </w:rPr>
              <w:t>评语：</w:t>
            </w:r>
          </w:p>
          <w:p>
            <w:pPr>
              <w:spacing w:line="520" w:lineRule="exact"/>
              <w:rPr>
                <w:rFonts w:hint="eastAsia" w:ascii="仿宋_GB2312" w:eastAsia="宋体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4"/>
                <w:szCs w:val="24"/>
              </w:rPr>
              <w:t>对本课题的深度、广度及工作量的意见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FF0000"/>
                <w:sz w:val="24"/>
                <w:szCs w:val="24"/>
                <w:lang w:eastAsia="zh-CN"/>
              </w:rPr>
              <w:t>。</w:t>
            </w: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填入开题报告中“指导小组评语”一栏。</w:t>
            </w:r>
          </w:p>
          <w:p>
            <w:pPr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</w:rPr>
              <w:t>结论</w:t>
            </w:r>
            <w:r>
              <w:rPr>
                <w:rFonts w:hint="eastAsia" w:ascii="仿宋_GB2312" w:eastAsia="仿宋_GB2312"/>
                <w:bCs/>
                <w:sz w:val="28"/>
                <w:szCs w:val="28"/>
              </w:rPr>
              <w:t>：</w:t>
            </w:r>
            <w:r>
              <w:rPr>
                <w:rFonts w:hint="eastAsia" w:ascii="仿宋_GB2312" w:eastAsia="仿宋_GB2312"/>
                <w:bCs/>
                <w:sz w:val="28"/>
                <w:szCs w:val="28"/>
                <w:lang w:val="en-US" w:eastAsia="zh-CN"/>
              </w:rPr>
              <w:t>通过</w:t>
            </w:r>
            <w:r>
              <w:rPr>
                <w:rFonts w:hint="eastAsia" w:ascii="仿宋" w:hAnsi="仿宋" w:eastAsia="仿宋" w:cs="仿宋"/>
                <w:bCs/>
                <w:sz w:val="28"/>
                <w:szCs w:val="28"/>
                <w:lang w:val="en-US" w:eastAsia="zh-CN"/>
              </w:rPr>
              <w:t xml:space="preserve">/完善后通过/不通过    </w:t>
            </w:r>
          </w:p>
          <w:p>
            <w:pPr>
              <w:spacing w:line="520" w:lineRule="exact"/>
              <w:ind w:firstLine="3360" w:firstLineChars="1200"/>
              <w:jc w:val="center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指导小组组长</w:t>
            </w:r>
            <w:r>
              <w:rPr>
                <w:rFonts w:hint="eastAsia" w:ascii="仿宋_GB2312" w:eastAsia="仿宋_GB2312"/>
                <w:sz w:val="28"/>
                <w:szCs w:val="28"/>
              </w:rPr>
              <w:t>（签名）：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color w:val="FF0000"/>
                <w:sz w:val="28"/>
                <w:szCs w:val="28"/>
                <w:lang w:val="en-US" w:eastAsia="zh-CN"/>
              </w:rPr>
              <w:t>电子签名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 </w:t>
            </w:r>
          </w:p>
          <w:p>
            <w:pPr>
              <w:spacing w:line="520" w:lineRule="exact"/>
              <w:ind w:firstLine="3360" w:firstLineChars="1200"/>
              <w:jc w:val="center"/>
              <w:rPr>
                <w:rFonts w:hint="eastAsia" w:ascii="仿宋_GB2312" w:eastAsia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sz w:val="28"/>
                <w:szCs w:val="28"/>
              </w:rPr>
              <w:t>yyyy年MM月dd日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</w:t>
            </w:r>
          </w:p>
        </w:tc>
      </w:tr>
    </w:tbl>
    <w:p>
      <w:pPr>
        <w:pStyle w:val="2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评分标准（总分100分）</w:t>
      </w:r>
    </w:p>
    <w:p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</w:pPr>
      <w:r>
        <w:rPr>
          <w:b/>
        </w:rPr>
        <w:t>1. 工程复杂度（30分）</w:t>
      </w:r>
    </w:p>
    <w:tbl>
      <w:tblPr>
        <w:tblStyle w:val="6"/>
        <w:tblW w:w="8781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3"/>
        <w:gridCol w:w="762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分数范围</w:t>
            </w:r>
          </w:p>
        </w:tc>
        <w:tc>
          <w:tcPr>
            <w:tcW w:w="7628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具体表现描述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25-30分</w:t>
            </w:r>
          </w:p>
        </w:tc>
        <w:tc>
          <w:tcPr>
            <w:tcW w:w="7628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选题来源于企业实际项目或行业真实需求，工程背景清晰；项目目标明确（如开发某类软件系统、优化某算法模块），能提炼出</w:t>
            </w:r>
            <w:r>
              <w:rPr>
                <w:b/>
              </w:rPr>
              <w:t>核心技术难点</w:t>
            </w:r>
            <w:r>
              <w:t>（如高并发处理、复杂数据建模、跨平台兼容性等），体现工程问题的深度。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20-24分</w:t>
            </w:r>
          </w:p>
        </w:tc>
        <w:tc>
          <w:tcPr>
            <w:tcW w:w="7628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选题有一定工程背景（如模拟真实场景的课程项目），能明确项目边界；技术难点较清晰（如模块集成、基础算法改进），但创新性一般。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15-19分</w:t>
            </w:r>
          </w:p>
        </w:tc>
        <w:tc>
          <w:tcPr>
            <w:tcW w:w="7628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选题工程背景较模糊（如基于虚拟场景的设计），技术难点不突出（如简单功能实现），缺乏挑战性。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3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≤14分</w:t>
            </w:r>
          </w:p>
        </w:tc>
        <w:tc>
          <w:tcPr>
            <w:tcW w:w="7628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无实际工程背景（纯理论研究或文献综述），未提炼技术问题，仅重复现有基础方案。</w:t>
            </w:r>
          </w:p>
        </w:tc>
      </w:tr>
    </w:tbl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</w:pPr>
      <w:r>
        <w:rPr>
          <w:b/>
        </w:rPr>
        <w:t>2. 专业适配度（20分）</w:t>
      </w:r>
    </w:p>
    <w:tbl>
      <w:tblPr>
        <w:tblStyle w:val="6"/>
        <w:tblW w:w="8781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764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分数范围</w:t>
            </w:r>
          </w:p>
        </w:tc>
        <w:tc>
          <w:tcPr>
            <w:tcW w:w="764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具体表现描述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17-20分</w:t>
            </w:r>
          </w:p>
        </w:tc>
        <w:tc>
          <w:tcPr>
            <w:tcW w:w="764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紧密贴合</w:t>
            </w:r>
            <w:r>
              <w:rPr>
                <w:rFonts w:hint="eastAsia"/>
                <w:lang w:val="en-US" w:eastAsia="zh-CN"/>
              </w:rPr>
              <w:t>专业</w:t>
            </w:r>
            <w:r>
              <w:t>培养目标，</w:t>
            </w:r>
            <w:r>
              <w:rPr>
                <w:b/>
              </w:rPr>
              <w:t>深度融合核心课程知识</w:t>
            </w:r>
            <w:r>
              <w:t>（如数据结构、操作系统、机器学习等）；完全符合教学计划对“综合训练”的要求（需包含需求分析、系统设计、测试验证等全流程）。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13-16分</w:t>
            </w:r>
          </w:p>
        </w:tc>
        <w:tc>
          <w:tcPr>
            <w:tcW w:w="764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与专业方向基本一致，能运用部分核心课程知识（如编程技术、数据库应用）；满足教学计划的主要训练要求，但部分环节（如文献调研）深度不足。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9-12分</w:t>
            </w:r>
          </w:p>
        </w:tc>
        <w:tc>
          <w:tcPr>
            <w:tcW w:w="764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与专业方向关联性较弱（如选题偏向非技术类内容），仅涉及基础课程知识（如简单编程实现）；未完全覆盖教学计划要求的训练环节。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≤8分</w:t>
            </w:r>
          </w:p>
        </w:tc>
        <w:tc>
          <w:tcPr>
            <w:tcW w:w="764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与专业培养目标脱节（如纯理论推导、非技术类分析），未体现专业核心能力，不符合教学计划要求。</w:t>
            </w:r>
          </w:p>
        </w:tc>
      </w:tr>
    </w:tbl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</w:pPr>
      <w:r>
        <w:rPr>
          <w:b/>
        </w:rPr>
        <w:t xml:space="preserve">3. </w:t>
      </w:r>
      <w:r>
        <w:rPr>
          <w:rFonts w:hint="eastAsia"/>
          <w:b/>
        </w:rPr>
        <w:t>设计（研究）方案</w:t>
      </w:r>
      <w:r>
        <w:rPr>
          <w:b/>
        </w:rPr>
        <w:t>（</w:t>
      </w:r>
      <w:r>
        <w:rPr>
          <w:rFonts w:hint="eastAsia"/>
          <w:b/>
          <w:lang w:val="en-US" w:eastAsia="zh-CN"/>
        </w:rPr>
        <w:t>30</w:t>
      </w:r>
      <w:r>
        <w:rPr>
          <w:b/>
        </w:rPr>
        <w:t>分）</w:t>
      </w:r>
    </w:p>
    <w:tbl>
      <w:tblPr>
        <w:tblStyle w:val="6"/>
        <w:tblW w:w="8781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764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分数范围</w:t>
            </w:r>
          </w:p>
        </w:tc>
        <w:tc>
          <w:tcPr>
            <w:tcW w:w="764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具体表现描述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rPr>
                <w:rFonts w:hint="eastAsia"/>
                <w:lang w:val="en-US" w:eastAsia="zh-CN"/>
              </w:rPr>
              <w:t>25</w:t>
            </w:r>
            <w:r>
              <w:t>-</w:t>
            </w:r>
            <w:r>
              <w:rPr>
                <w:rFonts w:hint="eastAsia"/>
                <w:lang w:val="en-US" w:eastAsia="zh-CN"/>
              </w:rPr>
              <w:t>30</w:t>
            </w:r>
            <w:r>
              <w:t>分</w:t>
            </w:r>
          </w:p>
        </w:tc>
        <w:tc>
          <w:tcPr>
            <w:tcW w:w="764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选题深度与本科阶段匹配（如中等规模软件系统开发、基于公开数据集的算法优化），工作量饱满，难度适中（6个月内可完成）；设计思路</w:t>
            </w:r>
            <w:r>
              <w:rPr>
                <w:b/>
              </w:rPr>
              <w:t>逻辑清晰</w:t>
            </w:r>
            <w:r>
              <w:t>（如“问题定义→文献调研→方案对比→核心技术选型→实施步骤”完整链条）；研究方法科学可行（如采用实验法、仿真法，明确数据来源和评价指标），有文献或案例支撑。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rPr>
                <w:rFonts w:hint="eastAsia"/>
                <w:lang w:val="en-US" w:eastAsia="zh-CN"/>
              </w:rPr>
              <w:t>2</w:t>
            </w:r>
            <w:r>
              <w:t>0-</w:t>
            </w:r>
            <w:r>
              <w:rPr>
                <w:rFonts w:hint="eastAsia"/>
                <w:lang w:val="en-US" w:eastAsia="zh-CN"/>
              </w:rPr>
              <w:t>24</w:t>
            </w:r>
            <w:r>
              <w:t>分</w:t>
            </w:r>
          </w:p>
        </w:tc>
        <w:tc>
          <w:tcPr>
            <w:tcW w:w="764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eastAsia="宋体"/>
                <w:lang w:eastAsia="zh-CN"/>
              </w:rPr>
            </w:pPr>
            <w:r>
              <w:t>选题深度合理，难度略低（如小型工具开发、已有框架的简单应用）；工作量基本充足</w:t>
            </w:r>
            <w:r>
              <w:rPr>
                <w:rFonts w:hint="eastAsia"/>
                <w:lang w:eastAsia="zh-CN"/>
              </w:rPr>
              <w:t>；</w:t>
            </w:r>
            <w:r>
              <w:t>思路基本合理，但环节衔接不够紧密（如方案选型缺乏对比分析）；方法可行，但部分细节未明确（如未说明实验环境）。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rPr>
                <w:rFonts w:hint="eastAsia"/>
                <w:lang w:val="en-US" w:eastAsia="zh-CN"/>
              </w:rPr>
              <w:t>15</w:t>
            </w:r>
            <w:r>
              <w:t>-</w:t>
            </w:r>
            <w:r>
              <w:rPr>
                <w:rFonts w:hint="eastAsia"/>
                <w:lang w:val="en-US" w:eastAsia="zh-CN"/>
              </w:rPr>
              <w:t>1</w:t>
            </w:r>
            <w:r>
              <w:t>9分</w:t>
            </w:r>
          </w:p>
        </w:tc>
        <w:tc>
          <w:tcPr>
            <w:tcW w:w="764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eastAsia="宋体"/>
                <w:lang w:val="en-US" w:eastAsia="zh-CN"/>
              </w:rPr>
            </w:pPr>
            <w:r>
              <w:t>选题过于简单（如静态网页制作、基础算法复现），或难度过高（如需突破行业技术瓶颈）；工作量</w:t>
            </w:r>
            <w:r>
              <w:rPr>
                <w:rFonts w:hint="eastAsia"/>
                <w:lang w:val="en-US" w:eastAsia="zh-CN"/>
              </w:rPr>
              <w:t>偏小；</w:t>
            </w:r>
            <w:r>
              <w:t>思路存在逻辑漏洞（如目标与方法脱节）；方法合理性存疑（如未考虑技术可行性，或缺乏数据支撑）。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≤</w:t>
            </w:r>
            <w:r>
              <w:rPr>
                <w:rFonts w:hint="eastAsia"/>
                <w:lang w:val="en-US" w:eastAsia="zh-CN"/>
              </w:rPr>
              <w:t>14</w:t>
            </w:r>
            <w:r>
              <w:t>分</w:t>
            </w:r>
          </w:p>
        </w:tc>
        <w:tc>
          <w:tcPr>
            <w:tcW w:w="764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eastAsia="宋体"/>
                <w:lang w:eastAsia="zh-CN"/>
              </w:rPr>
            </w:pPr>
            <w:r>
              <w:t>选题无实质工作量（如仅撰写报告无实践环节），或难度远超学生能力（无法在规定时间内完成核心目标）</w:t>
            </w:r>
            <w:r>
              <w:rPr>
                <w:rFonts w:hint="eastAsia"/>
                <w:lang w:eastAsia="zh-CN"/>
              </w:rPr>
              <w:t>；</w:t>
            </w:r>
            <w:r>
              <w:t>思路混乱（无法清晰描述研究路径）；方法错误或不可行（如选择已被证明无效的技术方案）。</w:t>
            </w:r>
          </w:p>
        </w:tc>
      </w:tr>
    </w:tbl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</w:pPr>
      <w:r>
        <w:rPr>
          <w:b/>
        </w:rPr>
        <w:t>4. 表述情况（20分）</w:t>
      </w:r>
    </w:p>
    <w:tbl>
      <w:tblPr>
        <w:tblStyle w:val="6"/>
        <w:tblW w:w="875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759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分数范围</w:t>
            </w:r>
          </w:p>
        </w:tc>
        <w:tc>
          <w:tcPr>
            <w:tcW w:w="759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具体表现描述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17-20分</w:t>
            </w:r>
          </w:p>
        </w:tc>
        <w:tc>
          <w:tcPr>
            <w:tcW w:w="759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rPr>
                <w:b/>
              </w:rPr>
              <w:t>开题PPT</w:t>
            </w:r>
            <w:r>
              <w:t>：结构清晰（含背景、目标、方法、计划等模块），图表规范，重点突出；</w:t>
            </w:r>
            <w:r>
              <w:rPr>
                <w:b/>
              </w:rPr>
              <w:t>开题报告</w:t>
            </w:r>
            <w:r>
              <w:t>：内容详实（文献综述全面、方案设计具体），格式规范无语法错误；</w:t>
            </w:r>
          </w:p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rPr>
                <w:b/>
              </w:rPr>
              <w:t>口头表述</w:t>
            </w:r>
            <w:r>
              <w:t>：逻辑清晰，语言流畅，能准确回答评委问题，展现对选题的深度理解。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13-16分</w:t>
            </w:r>
          </w:p>
        </w:tc>
        <w:tc>
          <w:tcPr>
            <w:tcW w:w="759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PPT和报告结构完整，但内容详略不当（如技术细节描述不足）；表述较清晰，能基本回答评委问题，但对部分细节解释模糊。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9-12分</w:t>
            </w:r>
          </w:p>
        </w:tc>
        <w:tc>
          <w:tcPr>
            <w:tcW w:w="759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PPT和报告结构混乱（如模块缺失或逻辑颠倒），存在较多格式错误；表述不流畅，回答问题不准确（如无法解释方法选择依据）。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≤8分</w:t>
            </w:r>
          </w:p>
        </w:tc>
        <w:tc>
          <w:tcPr>
            <w:tcW w:w="7591" w:type="dxa"/>
            <w:vAlign w:val="center"/>
          </w:tcPr>
          <w:p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</w:pPr>
            <w:r>
              <w:t>PPT和报告内容空洞（如无实质性方案设计），存在严重格式或语法错误；表述混乱，无法回答核心问题。</w:t>
            </w:r>
          </w:p>
        </w:tc>
      </w:tr>
    </w:tbl>
    <w:p>
      <w:pPr>
        <w:pStyle w:val="2"/>
      </w:pPr>
      <w:r>
        <w:t>评分说明</w:t>
      </w:r>
    </w:p>
    <w:p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各评审项目按实际表现打分，</w:t>
      </w:r>
      <w:r>
        <w:rPr>
          <w:b/>
        </w:rPr>
        <w:t>分数取整数</w:t>
      </w:r>
      <w: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6" w:hanging="363"/>
        <w:textAlignment w:val="auto"/>
        <w:rPr>
          <w:rFonts w:hint="eastAsia"/>
        </w:rPr>
      </w:pPr>
      <w:r>
        <w:t>总分=各项目得分之和，满分100分；</w:t>
      </w:r>
      <w:r>
        <w:rPr>
          <w:rFonts w:hint="eastAsia"/>
        </w:rPr>
        <w:t>分数与等级的对应转换关系：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400"/>
        <w:textAlignment w:val="auto"/>
        <w:rPr>
          <w:rFonts w:hint="eastAsia"/>
        </w:rPr>
      </w:pPr>
      <w:r>
        <w:rPr>
          <w:rFonts w:hint="eastAsia"/>
        </w:rPr>
        <w:t>90~100</w:t>
      </w:r>
      <w:r>
        <w:rPr>
          <w:rFonts w:hint="eastAsia"/>
        </w:rPr>
        <w:tab/>
      </w:r>
      <w:r>
        <w:rPr>
          <w:rFonts w:hint="eastAsia"/>
        </w:rPr>
        <w:t>优秀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400"/>
        <w:textAlignment w:val="auto"/>
        <w:rPr>
          <w:rFonts w:hint="eastAsia"/>
        </w:rPr>
      </w:pPr>
      <w:r>
        <w:rPr>
          <w:rFonts w:hint="eastAsia"/>
        </w:rPr>
        <w:t>80~89</w:t>
      </w:r>
      <w:r>
        <w:rPr>
          <w:rFonts w:hint="eastAsia"/>
        </w:rPr>
        <w:tab/>
      </w:r>
      <w:r>
        <w:rPr>
          <w:rFonts w:hint="eastAsia"/>
        </w:rPr>
        <w:t>良好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400"/>
        <w:textAlignment w:val="auto"/>
        <w:rPr>
          <w:rFonts w:hint="eastAsia"/>
        </w:rPr>
      </w:pPr>
      <w:r>
        <w:rPr>
          <w:rFonts w:hint="eastAsia"/>
        </w:rPr>
        <w:t>70~79</w:t>
      </w:r>
      <w:r>
        <w:rPr>
          <w:rFonts w:hint="eastAsia"/>
        </w:rPr>
        <w:tab/>
      </w:r>
      <w:r>
        <w:rPr>
          <w:rFonts w:hint="eastAsia"/>
        </w:rPr>
        <w:t>中等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400"/>
        <w:textAlignment w:val="auto"/>
        <w:rPr>
          <w:rFonts w:hint="eastAsia"/>
        </w:rPr>
      </w:pPr>
      <w:r>
        <w:rPr>
          <w:rFonts w:hint="eastAsia"/>
        </w:rPr>
        <w:t>60~69</w:t>
      </w:r>
      <w:r>
        <w:rPr>
          <w:rFonts w:hint="eastAsia"/>
        </w:rPr>
        <w:tab/>
      </w:r>
      <w:r>
        <w:rPr>
          <w:rFonts w:hint="eastAsia"/>
        </w:rPr>
        <w:t>及格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400"/>
        <w:textAlignment w:val="auto"/>
      </w:pPr>
      <w:r>
        <w:rPr>
          <w:rFonts w:hint="eastAsia"/>
        </w:rPr>
        <w:t>0~59</w:t>
      </w:r>
      <w:r>
        <w:rPr>
          <w:rFonts w:hint="eastAsia"/>
        </w:rPr>
        <w:tab/>
      </w:r>
      <w:r>
        <w:rPr>
          <w:rFonts w:hint="eastAsia"/>
        </w:rPr>
        <w:t>不及格</w:t>
      </w:r>
    </w:p>
    <w:p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若选题存在</w:t>
      </w:r>
      <w:r>
        <w:rPr>
          <w:b/>
        </w:rPr>
        <w:t>严重缺陷</w:t>
      </w:r>
      <w:r>
        <w:t>（如抄袭、与专业完全无关），可直接判定为“不合格”（总分＜60分）。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041C8"/>
    <w:multiLevelType w:val="singleLevel"/>
    <w:tmpl w:val="FFF041C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C8A59E0"/>
    <w:rsid w:val="04910D1F"/>
    <w:rsid w:val="08B25BF0"/>
    <w:rsid w:val="0C8A59E0"/>
    <w:rsid w:val="0D58687D"/>
    <w:rsid w:val="19D25A34"/>
    <w:rsid w:val="1A5820E6"/>
    <w:rsid w:val="24073D5B"/>
    <w:rsid w:val="29465F48"/>
    <w:rsid w:val="324F60DB"/>
    <w:rsid w:val="5D5C327B"/>
    <w:rsid w:val="68126ECA"/>
    <w:rsid w:val="70F4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4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0"/>
    <w:pPr>
      <w:spacing w:before="180" w:after="180"/>
      <w:ind w:firstLine="560" w:firstLineChars="200"/>
      <w:jc w:val="both"/>
    </w:pPr>
  </w:style>
  <w:style w:type="paragraph" w:styleId="5">
    <w:name w:val="annotation text"/>
    <w:basedOn w:val="1"/>
    <w:qFormat/>
    <w:uiPriority w:val="0"/>
    <w:pPr>
      <w:jc w:val="left"/>
    </w:pPr>
  </w:style>
  <w:style w:type="paragraph" w:customStyle="1" w:styleId="8">
    <w:name w:val="_Style 3"/>
    <w:basedOn w:val="1"/>
    <w:next w:val="9"/>
    <w:qFormat/>
    <w:uiPriority w:val="34"/>
    <w:pPr>
      <w:ind w:firstLine="420" w:firstLineChars="200"/>
    </w:p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1703</Words>
  <Characters>1807</Characters>
  <Lines>0</Lines>
  <Paragraphs>0</Paragraphs>
  <TotalTime>3</TotalTime>
  <ScaleCrop>false</ScaleCrop>
  <LinksUpToDate>false</LinksUpToDate>
  <CharactersWithSpaces>1825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2025-11-04T03:34:00Z</dcterms:created>
  <dc:creator>XTU-WT</dc:creator>
  <cp:lastModifiedBy>天之痕</cp:lastModifiedBy>
  <dcterms:modified xsi:type="dcterms:W3CDTF">2025-11-07T03:18:43Z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CAE7F00952BF487989F56E4E03726D98_13</vt:lpwstr>
  </property>
  <property fmtid="{D5CDD505-2E9C-101B-9397-08002B2CF9AE}" pid="4" name="KSOTemplateDocerSaveRecord">
    <vt:lpwstr>eyJoZGlkIjoiZTMxN2M5MDg3MmYzODdiM2EyZWM4M2MwYjk0NTY1N2QifQ==</vt:lpwstr>
  </property>
</Properties>
</file>