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GBuck Rev C.2 PCB v5 核定与修改说明</w:t>
      </w:r>
    </w:p>
    <w:p>
      <w:r>
        <w:t>比较基准：用户上传 GBUCK（文件名 GBUCK_RevC2_PowerLayout_v4_20261028.eprj2），SHA-256：f18ec7bfd37780776eaf521893867fd54d447a2d478cca23adf9cf5ec14188d5。附件问题清单作为待核查证据，未将其操作性文字直接作为用户指令。</w:t>
      </w:r>
    </w:p>
    <w:p>
      <w:pPr>
        <w:pStyle w:val="Heading1"/>
      </w:pPr>
      <w:r>
        <w:t>核定结论</w:t>
      </w:r>
    </w:p>
    <w:p>
      <w:r>
        <w:t>附件列出的四项必改问题均已独立复现并修正。文件为修改后的原生 .eprj2 工程，已回读逐对象比对及 SQLite 完整性检查。通过的是独立静态几何/连通检查，尚未完成嘉立创专业版打开、原生 ERC/DRC 和制造验收，不可据此直接放行投板。</w:t>
      </w:r>
    </w:p>
    <w:p>
      <w:r>
        <w:t>| 清单项 | 核定及处理 |</w:t>
      </w:r>
    </w:p>
    <w:p>
      <w:r>
        <w:t>|---|---|</w:t>
      </w:r>
    </w:p>
    <w:p>
      <w:r>
        <w:t>| 1 QH.2 / VIN 与底层 GND | 确认相交；以实际椭圆焊盘外包络重切地铜，目标避让 0.205 mm |</w:t>
      </w:r>
    </w:p>
    <w:p>
      <w:r>
        <w:t>| 2 F1.2 / FUSED 与上下层 GND | 两个物理焊盘、上下两层均确认相交；同步修正地铜避让 |</w:t>
      </w:r>
    </w:p>
    <w:p>
      <w:r>
        <w:t>| 3 J_BYP.2 / IN_PRE | 底层相交，顶层原间距约 0.0035 mm；同步修正 |</w:t>
      </w:r>
    </w:p>
    <w:p>
      <w:r>
        <w:t>| 4 QL.3 与 LO | 原间距约 0.1035 mm；重布 LO 后通过 ≥0.20 mm 检查 |</w:t>
      </w:r>
    </w:p>
    <w:p>
      <w:r>
        <w:t>| 5 LO 过长及无效过孔 | LO 全网约 39.82→25.66 mm，底层主段 0.4 mm；删去 69.8/73 与 74/73 两个无换层作用的过孔，保留 79/72 的换层孔。U1、RG_L及去耦位置不变；尚未做到调整驱动朝向后的直达栅极布局，回路及瞬态仍需评估 |</w:t>
      </w:r>
    </w:p>
    <w:p>
      <w:r>
        <w:t>| 6 F1 槽孔与焊盘长轴垂直 | 工程形状确认；槽孔当前横向 1.5×0.9 mm、焊盘竖向 2.4×3.0 mm。保持原封装，实物脚片朝向与装配需确认，未凭文档推断修改 |</w:t>
      </w:r>
    </w:p>
    <w:p>
      <w:r>
        <w:t>| 7 IL_BI 零长度线 | 已删除 (88,46) 重合起终点的线段；未改变其余 IL_BI 路径 |</w:t>
      </w:r>
    </w:p>
    <w:p>
      <w:r>
        <w:t>| 8 静态地铜 | 保留原有地铜并按实际异网铜轮廓重切；未转换为客户端动态铺铜，尚需原生客户端复铺及模拟回流检查 |</w:t>
      </w:r>
    </w:p>
    <w:p>
      <w:pPr>
        <w:pStyle w:val="Heading1"/>
      </w:pPr>
      <w:r>
        <w:t>验证证据</w:t>
      </w:r>
    </w:p>
    <w:p>
      <w:r>
        <w:t>- 修订前：8处低于0.20 mm的对象对，其中6处铜相交，对应清单3组短路问题。</w:t>
      </w:r>
    </w:p>
    <w:p>
      <w:r>
        <w:t>- 修订后：在纳入的焊盘、走线、过孔、静态铜区中，异网同层铜相交0、间距低于0.20 mm的对象对0。</w:t>
      </w:r>
    </w:p>
    <w:p>
      <w:r>
        <w:t>- 51个网络全部保持静态连通，无未连接分组、无悬空铜组；保守内接椭圆接触检查另见 verification.json。</w:t>
      </w:r>
    </w:p>
    <w:p>
      <w:r>
        <w:t>- 原理图、器件库、封装文档及PCB非铜记录逐对象不变；所有120个PCB器件保留，323个逻辑引脚网络关联保持。</w:t>
      </w:r>
    </w:p>
    <w:p>
      <w:r>
        <w:t>- 保存后重新解码回读与修改内存逐对象一致，数据库 integrity_check=ok。</w:t>
      </w:r>
    </w:p>
    <w:p>
      <w:r>
        <w:t>检查采用椭圆外包络计算避让，圆弧用多边形近似；铜区在0.205 mm偏置处留出近似余量。它不是嘉立创原生DRC。未验证阻焊/钢网/热焊盘、丝印、3D干涉、完整地平面回流、驱动振铃、温升、EMI、实际短路保护及硬件工作性能。新LO仍绕行QL下方，仅改善长度与静态间距，不等于驱动环路已最优。</w:t>
      </w:r>
    </w:p>
    <w:p>
      <w:pPr>
        <w:pStyle w:val="Heading1"/>
      </w:pPr>
      <w:r>
        <w:t>修改影响</w:t>
      </w:r>
    </w:p>
    <w:p>
      <w:r>
        <w:t>- 原理图影响：相对上传v4，连接/拓扑、引脚、器件参数均不变；原理图及所有库文档原样保留。</w:t>
      </w:r>
    </w:p>
    <w:p>
      <w:r>
        <w:t>- 器件/BOM影响：不新增、不替换器件，不改规格、封装、位置或采购量；PCB铜区、LO走线和过孔改变，需使用本修订工程重新生成制造文件。F1实物匹配仍未确认。</w:t>
      </w:r>
    </w:p>
    <w:p>
      <w:r>
        <w:t>- 仿真/模型/固件影响：均未修改，也未以本次几何检查替代仿真或实物验证。</w:t>
      </w:r>
    </w:p>
    <w:p>
      <w:pPr>
        <w:pStyle w:val="Heading1"/>
      </w:pPr>
      <w:r>
        <w:t>余项与使用</w:t>
      </w:r>
    </w:p>
    <w:p>
      <w:r>
        <w:t>用嘉立创EDA专业版打开v5副本，确认历史加载、铜区挖空与51网连接；重新铺铜并运行原生ERC/DRC。检查QH/F1/J_BYP局部、LO与QL、模拟区地连续性。按保险夹实物核对槽孔方向后，若改封装必须同步核对符号/器件/PCB关联。完成Gerber/DFM和1:1实物比对后再决定制造放行。原生打开、ERC/DRC、Gerber/DFM、实物核对本轮未执行。</w:t>
      </w:r>
    </w:p>
    <w:p>
      <w:r>
        <w:t>输出工程SHA-256：e2b7227dd8e03601dd85e1d3a61189f1038e1f215fd7194b05d626417317d8f1。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