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100nF/50V/0805/X7R共50只，单板需16只/补购0只，完整料号/容差未提供。4.7nF实际型号已确认为CL21B472JBANNNC，按图为0805/50V/±5%/X7R，C7～C10列4只；C_VINP_ADC所需4.7nF/50V/C0G/0805已购2只，单板用1只/补购0只/装一板余1只，完整料号/容差待核。CL21B472JBANNNC/X7R库存已确认50只，单板用4只/补购0只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p>
      <w:r>
        <w:t>最新100nF数量确认（比较d2e1585）：用户对数量回复“50”，登记100nF/50V/0805/X7R已购50只。单板设计需16只，本项需补购0只，装配一板后余34只；这是按一块PCB计算，尚未实际扣减库存。Excel采购汇总G列已填50，H列保留动态补购公式；CSV写当前库存50/补购0。其他器件库存仍未核，不把该50只扩展到4.7nF。完整料号/容差未提供。原理图/PCB原生文件、网络、脚号、设计参数/单板用量及仿真/固件均未改，本轮仅更新库存及补购记录，无新增器件或改板要求。</w:t>
      </w:r>
    </w:p>
    <w:p>
      <w:r>
        <w:t>最新4.7nF介质确认（比较68cd4f9）：用户对包装是否标有C0G/NP0回复“有cog”，按常用介质名称规范记录为C0G（中间为数字0）。该批4.7nF/C0G介质符合C_VINP_ADC的要求；本轮未提供实际耐压、数量、完整料号或容差，故库存/补购数量留空。采购表50V仍是所需耐压，不能当作该批实物已确认值。原表CL21B472JBANNNC仅保留历史，不据此给该批C0G填写完整料号。100nF/X7R库存50只、单板用16只/补购0只保持。原理图/PCB原生文件、网络、脚号、设计参数/单板用量及仿真/固件均未改，本轮仅更新4.7nF介质记录，无新增器件或改板要求。</w:t>
      </w:r>
    </w:p>
    <w:p>
      <w:r>
        <w:t>最新编码图复核（比较8e2722c）：用户提供三张通用MLCC编码/尺寸截图，未显示实际选购SKU、订单型号或包装标签。图中介质第3段C=C0G、B=X7R，电压第6段B=50V，两处B的含义不能混淆。原参数表料号CL21B472JBANNNC按图分段CL | 21 | B | 472 | J | B | A | N | N | N | C，对应0805、X7R、4.7nF、±5%、50V；这是对原表型号的条件解码，不证明当前实物就是该型号。先前“有cog”口头记录保留历史，当前4.7nF介质/耐压状态改为有差异待核，等待实际完整型号；不能仅因通用图列有C0G就判定所购物料为C0G。C_VINP_ADC仍要求C0G，若实物仍是原表X7R款，不直接代装此位置，是否补购待核。4.7nF设计用量仍5只、库存未知；100nF/X7R库存50只和单板补购0保持。原理图/PCB原生文件、网络、脚号、设计参数/数量及仿真/固件均未改，仅更新证据和BOM状态，未执行换料或改板。</w:t>
      </w:r>
    </w:p>
    <w:p>
      <w:r>
        <w:t>最新4.7nF实际型号确认（比较dc43f34）：用户对实际完整型号回复“就是这个型号、”，明确采用CL21B472JBANNNC。结合用户提供的编码图，登记0805、4.7nF、50V、±5%、X7R；此前口头C0G说法据完整型号纠正。C7/C8/C9/C10源图仅写4.7nF、未指定C0G，采购表按已购X7R款列4只。C_VINP_ADC源图明确4.7nF/C0G，保留要求，另列4.7nF/50V/C0G（NP0）/0805共1只待备，不用该X7R代装。是否另外已有C0G以及两类库存数量尚未确认，故库存/补购数留空，不猜填C0G缺货1只。采购行45→46，仅将原5只按介质拆分4+1；120逻辑位号/104默认有料位号、所有设计值/数量与PCB几何保持。100nF/X7R库存50只、单板补购0保持。原理图/PCB原生文件、网络、脚号和仿真/固件未改，无新增逻辑器件或改板要求；型号确认不构成实测滤波精度验收。</w:t>
      </w:r>
    </w:p>
    <w:p>
      <w:r>
        <w:t>最新C0G另购确认（比较0473d32）：用户对“是否另外购买4.7nF/50V/C0G（NP0）/0805电容”回复“是的”，登记C_VINP_ADC所需C0G款已另外购买，单板1只；与C7～C10的CL21B472JBANNNC/X7R款分开。实际数量、完整料号和容差未提供，库存/补购栏仍留空，不将单板需求1只当成已购数量，也不记库存0。用户按规格确认另购，不视为完整料号或实测结果已归档。4.7nF单板仍4只X7R加1只C0G，采购行46、120逻辑位号/104默认有料位号及100nF库存50只保持。原理图/PCB原生文件、网络、脚号、设计参数/用量和仿真/固件均未改，仅更新BOM已购状态，无新增器件或改板要求。</w:t>
      </w:r>
    </w:p>
    <w:p>
      <w:r>
        <w:t>最新C0G数量确认（比较afd277e）：用户对另购4.7nF/50V/C0G（NP0）/0805批次数量回复“2”，登记库存2只。C_VINP_ADC单板用1只，需补购0只，预计装配一板后余1只；尚未实际扣减库存。Excel库存G列填2、H列保留动态补购公式，CSV写当前2/0。与C7～C10的CL21B472JBANNNC/X7R款分开，X7R批次数量仍未知，不将C0G的2只套用到X7R。C0G完整料号/容差待归档；采购行46、120逻辑位号/104默认有料位号、100nF库存50只保持。原理图/PCB原生文件、网络、脚号、设计参数/单板用量及仿真/固件均未改，本轮仅更新库存及补购记录，无新增器件或改板要求。</w:t>
      </w:r>
    </w:p>
    <w:p>
      <w:r>
        <w:t>最新4.7nF/X7R数量确认（比较238203e）：用户对CL21B472JBANNNC这批X7R数量回复“50”，登记该款0805/4.7nF/50V/±5%/X7R库存50只。C7～C10单板用4只，需补购0只，预计装配一板后余46只；尚未实际扣减库存。Excel库存填50、补购保留公式，CSV写当前50/0。另购4.7nF/C0G库存2只供C_VINP_ADC使用，单板用1只/补购0只；100nF/X7R库存50只，单板用16只/补购0只。三类分开登记，其他库存仍未知。采购行46、120逻辑位号/104默认有料位号保持，C0G及100nF完整料号/容差待归档。原理图/PCB原生文件、网络、脚号、设计参数/单板用量和仿真/固件均未改，本轮仅更新库存及补购记录，无新增器件或改板要求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