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pPr>
        <w:pStyle w:val="Heading1"/>
      </w:pPr>
      <w:r>
        <w:t>交付状态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</w:t>
            </w:r>
          </w:p>
        </w:tc>
        <w:tc>
          <w:tcPr>
            <w:tcW w:type="dxa" w:w="2578"/>
          </w:tcPr>
          <w:p>
            <w:r>
              <w:t>选立式投影20×10、P10、孔1.10；孔径为设计选择</w:t>
            </w:r>
          </w:p>
        </w:tc>
        <w:tc>
          <w:tcPr>
            <w:tcW w:type="dxa" w:w="2578"/>
          </w:tcPr>
          <w:p>
            <w:r>
              <w:t>实物是否立式；卧式需要20×20并重新布局；6A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</w:t>
            </w:r>
          </w:p>
        </w:tc>
        <w:tc>
          <w:tcPr>
            <w:tcW w:type="dxa" w:w="2578"/>
          </w:tcPr>
          <w:p>
            <w:r>
              <w:t>参数表：实购2×1.25/0805；C4实购50V</w:t>
            </w:r>
          </w:p>
        </w:tc>
        <w:tc>
          <w:tcPr>
            <w:tcW w:type="dxa" w:w="2578"/>
          </w:tcPr>
          <w:p>
            <w:r>
              <w:t>改0805；C4按50V标注</w:t>
            </w:r>
          </w:p>
        </w:tc>
        <w:tc>
          <w:tcPr>
            <w:tcW w:type="dxa" w:w="2578"/>
          </w:tcPr>
          <w:p>
            <w:r>
              <w:t>容值、介质、偏压后有效容量；C_A3没有实物数据，保持C1206待确认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管夹图：6×30，单夹脚距7.7，脚宽约1.4，材料厚0.5；夹额定10A/250V</w:t>
            </w:r>
          </w:p>
        </w:tc>
        <w:tc>
          <w:tcPr>
            <w:tcW w:type="dxa" w:w="2578"/>
          </w:tcPr>
          <w:p>
            <w:r>
              <w:t>替换5×20占位，四脚分两端，同端同脚号；暂定槽1.8×1.0；继续使用2A熔断要求</w:t>
            </w:r>
          </w:p>
        </w:tc>
        <w:tc>
          <w:tcPr>
            <w:tcW w:type="dxa" w:w="2578"/>
          </w:tcPr>
          <w:p>
            <w:r>
              <w:t>图未定义两只夹沿管轴的装配中心距、7.7脚距方向；当前中心距30与槽方向均是假设；需实物核对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B3清单已含25mΩ；旧参数表记未购，现库存待核</w:t>
            </w:r>
          </w:p>
        </w:tc>
        <w:tc>
          <w:tcPr>
            <w:tcW w:type="dxa" w:w="2578"/>
          </w:tcPr>
          <w:p>
            <w:r>
              <w:t>保留直插P10占位</w:t>
            </w:r>
          </w:p>
        </w:tc>
        <w:tc>
          <w:tcPr>
            <w:tcW w:type="dxa" w:w="2578"/>
          </w:tcPr>
          <w:p>
            <w:r>
              <w:t>此图仅50mΩ，不证明25mΩ的封装；实际尺寸、1%精度与≥1W功率待核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保险管夹标称 10 A/250 V 是夹子的承载额定，不能把 F1 的 2 A 熔断电流改成 10 A。6×30 mm 是适配保险管尺寸，不能直接据此确定两只夹的安装中心距。图片本身还注明手工尺寸存在误差，待确认的尺寸不作为生产钻孔依据。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1=IN、2=SD#、3=COM、4=LO、5=VCC、6=VS、7=HO、8=VB。参数表IR2104属于旧Rev B，不能直接代装；本轮未改回IR2104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SS56候选，SMB</w:t>
            </w:r>
          </w:p>
        </w:tc>
        <w:tc>
          <w:tcPr>
            <w:tcW w:type="dxa" w:w="3437"/>
          </w:tcPr>
          <w:p>
            <w:r>
              <w:t>1=K、2=A；D1实购物料仅填销售商，完整型号/实物封装仍待核对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F1：两只6×30管夹配合保险管后的安装中心距及脚距方向；确认真正的2A保险管。</w:t>
      </w:r>
    </w:p>
    <w:p>
      <w:r>
        <w:t>2. 分流器：RS_IN/OUT的P10已有商品图依据，继续核对平面厚度、精度和连续功率。RS_L的25mΩ实际尺寸及当前库存待核，不能套用50mΩ图片。</w:t>
      </w:r>
    </w:p>
    <w:p>
      <w:r>
        <w:t>3. U1：使用Rev C2规定的IR2184PbF；实购IR2104不能直接装到本板。</w:t>
      </w:r>
    </w:p>
    <w:p>
      <w:r>
        <w:t>4. C_A3、D1、普通/精密电阻、实际保险夹及接插件完整型号；100nF所填CL21B472JBANNNC中的472对应4.7nF，需换成正确100nF规格；不可批量错装。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原理图：引脚网络、主功率拓扑、IR2184脚号、PA6分配、保护门限和阻值/电容量保持。工程副本同步封装关联、F1由5×20改6×30但仍2A、C4由35V提升到实购50V。外置R_PRE仍与J_BYP并联，未增加旁路开关的自动闭合电路。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及25mΩ分流器仍需与采购核对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