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r>
        <w:t>再次补充（基准9de6ebe）：用户25mΩ商品图已给出RS_L脚距5mm、图示线径0.7mm、体高7mm，PCB已从P10占位改P5，两孔各向中心移动2.5mm；25mΩ数值、网络、器件中心及孔径/焊盘尺寸保持。精度/功率、实际焊脚径及平面厚度仍待核，库存未知。详见reports/25mΩ商品图确认.md。</w:t>
      </w:r>
    </w:p>
    <w:p>
      <w:r>
        <w:t>最新F1补充（基准6135e14）：管与夹按最新5×20mm资料选型，保险管2A快断、商品标250V；用户确认单夹5.66mm为两焊脚中心距。四槽更新为0.9×1.5mm设计尺寸；两夹中心距15mm仅试装初值，需以实际保险管核对卡入、端帽接触和止挡。中间6×30/7.7方案作废。详见reports/F1_5x20夹P5p66确认.md。</w:t>
      </w:r>
    </w:p>
    <w:p>
      <w:pPr>
        <w:pStyle w:val="Heading1"/>
      </w:pPr>
      <w:r>
        <w:t>交付状态</w:t>
      </w:r>
    </w:p>
    <w:p>
      <w:r>
        <w:t>最新C_A3确认（比较c3892ab）：用户回复“0805”，C_A3由1206占位改为0805，保持10μF/25V和原网络。所有器件中心/角度及既有走线保持，仅C_A3本体包络和两块铜焊盘改变；两焊盘各向中心移动0.5mm。C6/C_A3按同规格合并为2只，采购汇总由46行减为45行，位号总数仍120。完整料号、实际介质及偏压有效容量待核；仿真/固件未修改。详见reports/C_A3_0805确认.md。</w:t>
      </w:r>
    </w:p>
    <w:p>
      <w:r>
        <w:t>最新二极管确认（比较11bce99）：用户明确D1和D_FREE均为SR560贴片、SMB。工程已同步为SR560/60V/5A选型标注及SMB封装关联，沿用既有铜几何、位置和走线；此额定为设计选型记录，厂家完整电气条件及推荐焊盘最终复核仍需归档。之前的DO-201AD轴向目录不用于本次贴片建库，未提交的轴向推断已撤回。用户也明确L1采用立式，原布局保持。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Max、DCR≤55mΩ；外径≤20、厚≤10、脚距10；用户已确认立式</w:t>
            </w:r>
          </w:p>
        </w:tc>
        <w:tc>
          <w:tcPr>
            <w:tcW w:type="dxa" w:w="2578"/>
          </w:tcPr>
          <w:p>
            <w:r>
              <w:t>立式投影20×10、P10、孔1.10；孔径为设计选择</w:t>
            </w:r>
          </w:p>
        </w:tc>
        <w:tc>
          <w:tcPr>
            <w:tcW w:type="dxa" w:w="2578"/>
          </w:tcPr>
          <w:p>
            <w:r>
              <w:t>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C2/C4/C6/C_A3</w:t>
            </w:r>
          </w:p>
        </w:tc>
        <w:tc>
          <w:tcPr>
            <w:tcW w:type="dxa" w:w="2578"/>
          </w:tcPr>
          <w:p>
            <w:r>
              <w:t>C2/C4/C6来自实购参数表；C_A3由用户本轮明确0805</w:t>
            </w:r>
          </w:p>
        </w:tc>
        <w:tc>
          <w:tcPr>
            <w:tcW w:type="dxa" w:w="2578"/>
          </w:tcPr>
          <w:p>
            <w:r>
              <w:t>均采用0805；C4为10μF/50V，C_A3保持10μF/25V</w:t>
            </w:r>
          </w:p>
        </w:tc>
        <w:tc>
          <w:tcPr>
            <w:tcW w:type="dxa" w:w="2578"/>
          </w:tcPr>
          <w:p>
            <w:r>
              <w:t>完整料号、实际介质、偏压后有效容量；0805类别确认不等于厂家焊盘已复核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最新5×20夹图；用户确认脚中心距5.66；脚宽1.1、厚0.5、夹宽6.2；配5×20/2A快断、商品标250V管</w:t>
            </w:r>
          </w:p>
        </w:tc>
        <w:tc>
          <w:tcPr>
            <w:tcW w:type="dxa" w:w="2578"/>
          </w:tcPr>
          <w:p>
            <w:r>
              <w:t>四槽0.9×1.5，铜焊盘2.4×3.0；每夹两脚沿管轴P5.66；双夹中心距15为试装初值；包络27×9保留</w:t>
            </w:r>
          </w:p>
        </w:tc>
        <w:tc>
          <w:tcPr>
            <w:tcW w:type="dxa" w:w="2578"/>
          </w:tcPr>
          <w:p>
            <w:r>
              <w:t>双夹中心距、止挡/端帽接触及槽方向需实际试装；250V未注明直流分断能力，熔断曲线/I2t待核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新DILIN迪林图：25mΩ、U型、脚距5、图示线径0.7、体高7</w:t>
            </w:r>
          </w:p>
        </w:tc>
        <w:tc>
          <w:tcPr>
            <w:tcW w:type="dxa" w:w="2578"/>
          </w:tcPr>
          <w:p>
            <w:r>
              <w:t>专用P5封装，两孔从P10各向中心移动2.5；保留孔1.1/焊盘2.6/12×4包络</w:t>
            </w:r>
          </w:p>
        </w:tc>
        <w:tc>
          <w:tcPr>
            <w:tcW w:type="dxa" w:w="2578"/>
          </w:tcPr>
          <w:p>
            <w:r>
              <w:t>图未给实际焊脚径、平面厚度、1%精度和连续≥1W；包络仍保守预留；库存未知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当前F1采用最新5×20mm/2A快断管与配套夹，中间6×30/7.7参考作废。单夹5.66mm已由用户明确为脚中心距；两个夹的中心距15mm由本次布局选作试装初值，不是用户或厂家确认尺寸。图中250V不直接证明本系统直流分断能力，启动不误熔断及故障分断还需资料/实测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1=IN、2=SD#、3=COM、4=LO、5=VCC、6=VS、7=HO、8=VB。用户已确认IR2184直插，现有DIP8_300保持；旧Rev B表IR2104不能直接代装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用户确认SR560、SMB/DO-214AA，共2只</w:t>
            </w:r>
          </w:p>
        </w:tc>
        <w:tc>
          <w:tcPr>
            <w:tcW w:type="dxa" w:w="3437"/>
          </w:tcPr>
          <w:p>
            <w:r>
              <w:t>本工程1=K色条端、2=A；D1的K接V_SHUNT_IN/A接IN_PRE，D_FREE的K接SW/A接GND；保留原SMB铜几何，厂家完整料号/电气条件/推荐焊盘最终复核待归档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F1：5×20mm/2A快断管、单夹P5.66已选定；用实物核对双夹15mm试装间距、槽方向、卡入和止挡；确认熔断曲线及直流分断能力。</w:t>
      </w:r>
    </w:p>
    <w:p>
      <w:r>
        <w:t>2. 分流器：商品图分别支持RS_IN/OUT的P10与RS_L的P5。继续核对实际焊脚径、平面厚度、1%精度和连续功率，RS_L库存待核。</w:t>
      </w:r>
    </w:p>
    <w:p>
      <w:r>
        <w:t>3. U1已由用户确认IR2184直插，现有DIP-8保持；按顶视图缺口/圆点核对1脚。旧Rev B表IR2104仅是历史记录，不能代装；库存数量/完整订货号另记。</w:t>
      </w:r>
    </w:p>
    <w:p>
      <w:r>
        <w:t>4. C_A3已确认0805，完整料号/介质及有效容量待核；普通/精密电阻、实际保险夹及接插件完整型号待核；D1/D_FREE的SR560与SMB类别已确认，厂家数据最终复核待归档；100nF所填CL21B472JBANNNC对应的批次现已由用户确认实际4.7nF；该批不能作100nF，已确认100nF/50V/0805/X7R共50只，单板需16只/补购0只，完整料号/容差未提供。4.7nF实际型号已确认为CL21B472JBANNNC，按图为0805/50V/±5%/X7R，C7～C10列4只；C_VINP_ADC所需4.7nF/50V/C0G/0805另购状态已确认，单板1只，实际数量/完整料号/容差待核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；F1保持5×20/2A并标FAST，中间6×30方案作废；C4由35V提升至50V；D1/D_FREE由原SS56标注改为用户SR560/SMB。外置R_PRE仍与J_BYP并联，未增加自动旁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直插已获确认，不需因本轮确认改板；25mΩ分流器的精度/功率及库存仍待核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p>
      <w:r>
        <w:t>最新U1确认（比较61b2872）：用户已确认IR2184直插，符合现有IR2184PbF设计标注和DIP8_300封装；原理图/PCB原生文件、焊盘、网络及每套1只的用量保持。本轮仅更新BOM确认状态，不要求新增或默认补购。库存数量、厂家/完整订货号未据此填定。仿真/固件未修改或运行。</w:t>
      </w:r>
    </w:p>
    <w:p>
      <w:r>
        <w:t>最新电容实物确认（比较a50761f）：用户回复“4.7nF”，确认上一轮100nF询问所对应的已购批次实际为4.7nF。该批按4.7nF登记，不能装在100nF位置，也不抵扣100nF库存。设计仍需100nF/0805共16只、4.7nF/0805共5只，原理图、PCB、器件参数/数量与仿真/固件均未改。是否另有100nF及两类可用库存数量未确认，不默认缺16只。4.7nF实际耐压/介质另核，特别是C_VINP_ADC要求C0G；仅容量相同不足以确认这批适用于全部5个位置。</w:t>
      </w:r>
    </w:p>
    <w:p>
      <w:r>
        <w:t>最新100nF备料确认（比较1404d80）：用户对“是否另外购买100nF/0805”回复“买了 0805”，确认另有100nF、0805备料，与已确认4.7nF批次分开登记。每板100nF设计需求仍16只；本轮未提供数量、耐压、介质或完整料号，故库存数量和补购数量仍留空，不认定已经足量，也不默认需要再买16只。50V/X7R为当前统一采购建议，不冒充已确认实物参数。原理图/PCB原生文件、器件值/用量、网络和仿真/固件均未改，仅更新BOM已购状态。</w:t>
      </w:r>
    </w:p>
    <w:p>
      <w:r>
        <w:t>最新100nF耐压确认（比较3384d1c）：用户回复“50v”，对应上一轮100nF电容耐压问题。该批已确认为100nF、50V、0805，已购状态保留；50V符合现有统一采购耐压，不要求本轮换料或改板。每板需求仍16只，实际数量、介质和完整料号待核；X7R为建议，不由50V推定。原理图/PCB原生文件、网络、脚号、器件参数/用量及仿真/固件均未改，仅更新物料确认状态。</w:t>
      </w:r>
    </w:p>
    <w:p>
      <w:r>
        <w:t>最新100nF介质确认（比较3033d8b）：用户对“包装或商品参数是否标有X7R”回复“有”，确认已购100nF、50V、0805电容为X7R。当前容量/耐压/封装/介质四项已有用户确认，X7R不再仅作采购建议。每板设计需求仍16只，实际库存数量、完整料号和容差未提供，不推定已经足量，也不填写库存0。原理图/PCB原生文件、网络、脚号、设计参数/用量及仿真/固件均未改，仅更新BOM介质状态，无本轮新增器件或换料要求。</w:t>
      </w:r>
    </w:p>
    <w:p>
      <w:r>
        <w:t>最新100nF数量确认（比较d2e1585）：用户对数量回复“50”，登记100nF/50V/0805/X7R已购50只。单板设计需16只，本项需补购0只，装配一板后余34只；这是按一块PCB计算，尚未实际扣减库存。Excel采购汇总G列已填50，H列保留动态补购公式；CSV写当前库存50/补购0。其他器件库存仍未核，不把该50只扩展到4.7nF。完整料号/容差未提供。原理图/PCB原生文件、网络、脚号、设计参数/单板用量及仿真/固件均未改，本轮仅更新库存及补购记录，无新增器件或改板要求。</w:t>
      </w:r>
    </w:p>
    <w:p>
      <w:r>
        <w:t>最新4.7nF介质确认（比较68cd4f9）：用户对包装是否标有C0G/NP0回复“有cog”，按常用介质名称规范记录为C0G（中间为数字0）。该批4.7nF/C0G介质符合C_VINP_ADC的要求；本轮未提供实际耐压、数量、完整料号或容差，故库存/补购数量留空。采购表50V仍是所需耐压，不能当作该批实物已确认值。原表CL21B472JBANNNC仅保留历史，不据此给该批C0G填写完整料号。100nF/X7R库存50只、单板用16只/补购0只保持。原理图/PCB原生文件、网络、脚号、设计参数/单板用量及仿真/固件均未改，本轮仅更新4.7nF介质记录，无新增器件或改板要求。</w:t>
      </w:r>
    </w:p>
    <w:p>
      <w:r>
        <w:t>最新编码图复核（比较8e2722c）：用户提供三张通用MLCC编码/尺寸截图，未显示实际选购SKU、订单型号或包装标签。图中介质第3段C=C0G、B=X7R，电压第6段B=50V，两处B的含义不能混淆。原参数表料号CL21B472JBANNNC按图分段CL | 21 | B | 472 | J | B | A | N | N | N | C，对应0805、X7R、4.7nF、±5%、50V；这是对原表型号的条件解码，不证明当前实物就是该型号。先前“有cog”口头记录保留历史，当前4.7nF介质/耐压状态改为有差异待核，等待实际完整型号；不能仅因通用图列有C0G就判定所购物料为C0G。C_VINP_ADC仍要求C0G，若实物仍是原表X7R款，不直接代装此位置，是否补购待核。4.7nF设计用量仍5只、库存未知；100nF/X7R库存50只和单板补购0保持。原理图/PCB原生文件、网络、脚号、设计参数/数量及仿真/固件均未改，仅更新证据和BOM状态，未执行换料或改板。</w:t>
      </w:r>
    </w:p>
    <w:p>
      <w:r>
        <w:t>最新4.7nF实际型号确认（比较dc43f34）：用户对实际完整型号回复“就是这个型号、”，明确采用CL21B472JBANNNC。结合用户提供的编码图，登记0805、4.7nF、50V、±5%、X7R；此前口头C0G说法据完整型号纠正。C7/C8/C9/C10源图仅写4.7nF、未指定C0G，采购表按已购X7R款列4只。C_VINP_ADC源图明确4.7nF/C0G，保留要求，另列4.7nF/50V/C0G（NP0）/0805共1只待备，不用该X7R代装。是否另外已有C0G以及两类库存数量尚未确认，故库存/补购数留空，不猜填C0G缺货1只。采购行45→46，仅将原5只按介质拆分4+1；120逻辑位号/104默认有料位号、所有设计值/数量与PCB几何保持。100nF/X7R库存50只、单板补购0保持。原理图/PCB原生文件、网络、脚号和仿真/固件未改，无新增逻辑器件或改板要求；型号确认不构成实测滤波精度验收。</w:t>
      </w:r>
    </w:p>
    <w:p>
      <w:r>
        <w:t>最新C0G另购确认（比较0473d32）：用户对“是否另外购买4.7nF/50V/C0G（NP0）/0805电容”回复“是的”，登记C_VINP_ADC所需C0G款已另外购买，单板1只；与C7～C10的CL21B472JBANNNC/X7R款分开。实际数量、完整料号和容差未提供，库存/补购栏仍留空，不将单板需求1只当成已购数量，也不记库存0。用户按规格确认另购，不视为完整料号或实测结果已归档。4.7nF单板仍4只X7R加1只C0G，采购行46、120逻辑位号/104默认有料位号及100nF库存50只保持。原理图/PCB原生文件、网络、脚号、设计参数/用量和仿真/固件均未改，仅更新BOM已购状态，无新增器件或改板要求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