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口头C0G与原表型号解码X7R有差异，实际完整型号/介质/耐压/数量待核；通用编码图不能确认所选款，C_VINP_ADC仍要求C0G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p>
      <w:r>
        <w:t>最新4.7nF介质确认（比较68cd4f9）：用户对包装是否标有C0G/NP0回复“有cog”，按常用介质名称规范记录为C0G（中间为数字0）。该批4.7nF/C0G介质符合C_VINP_ADC的要求；本轮未提供实际耐压、数量、完整料号或容差，故库存/补购数量留空。采购表50V仍是所需耐压，不能当作该批实物已确认值。原表CL21B472JBANNNC仅保留历史，不据此给该批C0G填写完整料号。100nF/X7R库存50只、单板用16只/补购0只保持。原理图/PCB原生文件、网络、脚号、设计参数/单板用量及仿真/固件均未改，本轮仅更新4.7nF介质记录，无新增器件或改板要求。</w:t>
      </w:r>
    </w:p>
    <w:p>
      <w:r>
        <w:t>最新编码图复核（比较8e2722c）：用户提供三张通用MLCC编码/尺寸截图，未显示实际选购SKU、订单型号或包装标签。图中介质第3段C=C0G、B=X7R，电压第6段B=50V，两处B的含义不能混淆。原参数表料号CL21B472JBANNNC按图分段CL | 21 | B | 472 | J | B | A | N | N | N | C，对应0805、X7R、4.7nF、±5%、50V；这是对原表型号的条件解码，不证明当前实物就是该型号。先前“有cog”口头记录保留历史，当前4.7nF介质/耐压状态改为有差异待核，等待实际完整型号；不能仅因通用图列有C0G就判定所购物料为C0G。C_VINP_ADC仍要求C0G，若实物仍是原表X7R款，不直接代装此位置，是否补购待核。4.7nF设计用量仍5只、库存未知；100nF/X7R库存50只和单板补购0保持。原理图/PCB原生文件、网络、脚号、设计参数/数量及仿真/固件均未改，仅更新证据和BOM状态，未执行换料或改板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