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Cross-Currency Swaps (CCS)</w:t>
      </w:r>
    </w:p>
    <w:p>
      <w:pPr>
        <w:spacing w:after="140"/>
        <w:jc w:val="left"/>
      </w:pPr>
      <w:r>
        <w:t xml:space="preserve">Pricing and FRTB SA sensitivities (GIRR + XCCY basis delta) for cross-currency swaps, reconciled against RiskWatch. Architecture mirrors the post-determined single-currency pipeline one-for-one; only the CCS-specific differences are new.</w:t>
      </w:r>
    </w:p>
    <w:p>
      <w:pPr>
        <w:spacing w:after="140"/>
        <w:jc w:val="left"/>
      </w:pPr>
      <w:r>
        <w:t xml:space="preserve">Author: E42656</w:t>
      </w:r>
    </w:p>
    <w:p>
      <w:pPr>
        <w:pStyle w:val="Heading1"/>
        <w:spacing w:after="140" w:before="280"/>
      </w:pPr>
      <w:r>
        <w:t xml:space="preserve">1.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main_ccsbook.py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Runner and configuration. Deliberately named to avoid clobbering the simpleswap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ccsPricing.py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CrossCurrencySwap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per-leg schedules, compounding, leg PVs in own currency, FX conversion,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npv()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ccsPortfolio.py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CCSPortfolio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deal assembly, curve/FX discovery, derived-curve materialisation, book pricing.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ccsSensitivity.py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build_ccs_specs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ccs_risk_factors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ccs_girr_for_portfolio</w:t>
            </w:r>
            <w:r>
              <w:rPr>
                <w:b w:val="false"/>
                <w:bCs w:val="false"/>
                <w:sz w:val="20"/>
                <w:szCs w:val="20"/>
              </w:rPr>
              <w:t xml:space="preserve">; RiskWatch GIRR matching.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ccsDiagnostics.py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Two-tab analytics workbook.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linearInterpolation.py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sensitivity.py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resetRate.py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with the single-currency pipelines.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left"/>
      </w:pPr>
      <w:r>
        <w:t xml:space="preserve">The retired </w:t>
      </w:r>
      <w:r>
        <w:rPr>
          <w:rFonts w:ascii="Consolas" w:cs="Consolas" w:eastAsia="Consolas" w:hAnsi="Consolas"/>
          <w:sz w:val="20"/>
          <w:szCs w:val="20"/>
        </w:rPr>
        <w:t xml:space="preserve">ccsBook.py</w:t>
      </w:r>
      <w:r>
        <w:t xml:space="preserve"> has been removed: its curve/FX discovery was absorbed into </w:t>
      </w:r>
      <w:r>
        <w:rPr>
          <w:rFonts w:ascii="Consolas" w:cs="Consolas" w:eastAsia="Consolas" w:hAnsi="Consolas"/>
          <w:sz w:val="20"/>
          <w:szCs w:val="20"/>
        </w:rPr>
        <w:t xml:space="preserve">ccsPortfolio</w:t>
      </w:r>
      <w:r>
        <w:t xml:space="preserve">, its RiskWatch GIRR matching into </w:t>
      </w:r>
      <w:r>
        <w:rPr>
          <w:rFonts w:ascii="Consolas" w:cs="Consolas" w:eastAsia="Consolas" w:hAnsi="Consolas"/>
          <w:sz w:val="20"/>
          <w:szCs w:val="20"/>
        </w:rPr>
        <w:t xml:space="preserve">ccsSensitivity</w:t>
      </w:r>
      <w:r>
        <w:t xml:space="preserve">.</w:t>
      </w:r>
    </w:p>
    <w:p>
      <w:pPr>
        <w:pStyle w:val="Heading1"/>
        <w:spacing w:after="140" w:before="280"/>
      </w:pPr>
      <w:r>
        <w:t xml:space="preserve">2. What is CCS-specific</w:t>
      </w:r>
    </w:p>
    <w:p>
      <w:pPr>
        <w:spacing w:after="140"/>
        <w:jc w:val="left"/>
      </w:pPr>
      <w:r>
        <w:t xml:space="preserve">Everything else — the payment-date roll, the </w:t>
      </w:r>
      <w:r>
        <w:rPr>
          <w:rFonts w:ascii="Consolas" w:cs="Consolas" w:eastAsia="Consolas" w:hAnsi="Consolas"/>
          <w:sz w:val="20"/>
          <w:szCs w:val="20"/>
        </w:rPr>
        <w:t xml:space="preserve">COMPOUNDING</w:t>
      </w:r>
      <w:r>
        <w:t xml:space="preserve"> switch, backward schedule generation, the </w:t>
      </w:r>
      <w:r>
        <w:rPr>
          <w:rFonts w:ascii="Consolas" w:cs="Consolas" w:eastAsia="Consolas" w:hAnsi="Consolas"/>
          <w:sz w:val="20"/>
          <w:szCs w:val="20"/>
        </w:rPr>
        <w:t xml:space="preserve">accr_start_used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accr_end_used</w:t>
      </w:r>
      <w:r>
        <w:t xml:space="preserve"> convention, the post-determined first-period reset — is inherited unchanged from </w:t>
      </w:r>
      <w:r>
        <w:rPr>
          <w:rFonts w:ascii="Consolas" w:cs="Consolas" w:eastAsia="Consolas" w:hAnsi="Consolas"/>
          <w:sz w:val="20"/>
          <w:szCs w:val="20"/>
        </w:rPr>
        <w:t xml:space="preserve">simpleSwapPricing.SimpleSwap</w:t>
      </w:r>
      <w:r>
        <w:t xml:space="preserve">. The three genuine differences: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deal is a list of legs.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params['legs']</w:t>
      </w:r>
      <w:r>
        <w:t xml:space="preserve"> holds one float leg per currency. Each leg is priced in its own currency and converted to the reporting currency (EUR) through </w:t>
      </w:r>
      <w:r>
        <w:rPr>
          <w:rFonts w:ascii="Consolas" w:cs="Consolas" w:eastAsia="Consolas" w:hAnsi="Consolas"/>
          <w:sz w:val="20"/>
          <w:szCs w:val="20"/>
        </w:rPr>
        <w:t xml:space="preserve">params['fx']</w:t>
      </w:r>
      <w:r>
        <w:t xml:space="preserve"> for the deal MtM. Leg sign comes from </w:t>
      </w:r>
      <w:r>
        <w:rPr>
          <w:rFonts w:ascii="Consolas" w:cs="Consolas" w:eastAsia="Consolas" w:hAnsi="Consolas"/>
          <w:sz w:val="20"/>
          <w:szCs w:val="20"/>
        </w:rPr>
        <w:t xml:space="preserve">position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receive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rec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long</w:t>
      </w:r>
      <w:r>
        <w:t xml:space="preserve"> → +1, otherwise −1).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leg's discount curve may be a list of curve names whose zero rates are summed.</w:t>
      </w:r>
      <w:r>
        <w:t xml:space="preserve"> The foreign discount is decomposed into IR + XCCY basis, each an independently shockable risk 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period's coupon is index plus the leg's basis spread</w:t>
      </w:r>
      <w:r>
        <w:t xml:space="preserve"> — including the post-determined first-period reset. The blotter carries </w:t>
      </w:r>
      <w:r>
        <w:rPr>
          <w:b/>
          <w:bCs/>
        </w:rPr>
        <w:t xml:space="preserve">bare</w:t>
      </w:r>
      <w:r>
        <w:t xml:space="preserve"> index resets; the engine adds the spread consistently across all periods.</w:t>
      </w:r>
    </w:p>
    <w:p>
      <w:pPr>
        <w:pStyle w:val="Heading2"/>
        <w:spacing w:after="140" w:before="280"/>
      </w:pPr>
      <w:r>
        <w:t xml:space="preserve">XCCY basis derivation</w:t>
      </w:r>
    </w:p>
    <w:p>
      <w:pPr>
        <w:shd w:fill="F4F4F4" w:val="clear"/>
        <w:spacing w:after="160" w:before="12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XCCY = &lt;CCY&gt;-CSA-EUR  -  &lt;CCY&gt;-STR/OIS</w:t>
      </w:r>
    </w:p>
    <w:p>
      <w:pPr>
        <w:spacing w:after="140"/>
        <w:jc w:val="left"/>
      </w:pPr>
      <w:r>
        <w:t xml:space="preserve">evaluated on the </w:t>
      </w:r>
      <w:r>
        <w:rPr>
          <w:b/>
          <w:bCs/>
        </w:rPr>
        <w:t xml:space="preserve">STR/OIS curve's own node grid</w:t>
      </w:r>
      <w:r>
        <w:t xml:space="preserve">, using linear interpolation to match lengths. The STR/OIS and XCCY curves are then </w:t>
      </w:r>
      <w:r>
        <w:rPr>
          <w:b/>
          <w:bCs/>
        </w:rPr>
        <w:t xml:space="preserve">summed</w:t>
      </w:r>
      <w:r>
        <w:t xml:space="preserve"> (again via linear interpolation) to form the composite foreign discount, so their sum reproduces </w:t>
      </w:r>
      <w:r>
        <w:rPr>
          <w:rFonts w:ascii="Consolas" w:cs="Consolas" w:eastAsia="Consolas" w:hAnsi="Consolas"/>
          <w:sz w:val="20"/>
          <w:szCs w:val="20"/>
        </w:rPr>
        <w:t xml:space="preserve">&lt;CCY&gt;-CSA-EUR</w:t>
      </w:r>
      <w:r>
        <w:t xml:space="preserve"> exactly for MtM purposes while allowing separate per-tenor sensitivities.</w:t>
      </w:r>
    </w:p>
    <w:p>
      <w:pPr>
        <w:spacing w:after="14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build_derived_curves</w:t>
      </w:r>
      <w:r>
        <w:t xml:space="preserve"> materialises the basis curve as </w:t>
      </w:r>
      <w:r>
        <w:rPr>
          <w:rFonts w:ascii="Consolas" w:cs="Consolas" w:eastAsia="Consolas" w:hAnsi="Consolas"/>
          <w:sz w:val="20"/>
          <w:szCs w:val="20"/>
        </w:rPr>
        <w:t xml:space="preserve">XXX-XCCY</w:t>
      </w:r>
      <w:r>
        <w:t xml:space="preserve"> into the live </w:t>
      </w:r>
      <w:r>
        <w:rPr>
          <w:rFonts w:ascii="Consolas" w:cs="Consolas" w:eastAsia="Consolas" w:hAnsi="Consolas"/>
          <w:sz w:val="20"/>
          <w:szCs w:val="20"/>
        </w:rPr>
        <w:t xml:space="preserve">CurveSet</w:t>
      </w:r>
      <w:r>
        <w:t xml:space="preserve"> during </w:t>
      </w:r>
      <w:r>
        <w:rPr>
          <w:rFonts w:ascii="Consolas" w:cs="Consolas" w:eastAsia="Consolas" w:hAnsi="Consolas"/>
          <w:sz w:val="20"/>
          <w:szCs w:val="20"/>
        </w:rPr>
        <w:t xml:space="preserve">_build_params</w:t>
      </w:r>
      <w:r>
        <w:t xml:space="preserve">. Curve-availability checks must therefore run against the </w:t>
      </w:r>
      <w:r>
        <w:rPr>
          <w:b/>
          <w:bCs/>
        </w:rPr>
        <w:t xml:space="preserve">live</w:t>
      </w:r>
      <w:r>
        <w:t xml:space="preserve"> CurveSet, not a set snapshotted before that step.</w:t>
      </w:r>
    </w:p>
    <w:p>
      <w:pPr>
        <w:pStyle w:val="Heading2"/>
        <w:spacing w:after="140" w:before="280"/>
      </w:pPr>
      <w:r>
        <w:t xml:space="preserve">Risk attribution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IR (STR/OIS) shocks</w:t>
      </w:r>
      <w:r>
        <w:t xml:space="preserve"> flow into both forecasting and discounting.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XCCY basis shocks</w:t>
      </w:r>
      <w:r>
        <w:t xml:space="preserve"> flow into discounting only.</w:t>
      </w:r>
    </w:p>
    <w:p>
      <w:pPr>
        <w:spacing w:after="140"/>
        <w:jc w:val="left"/>
      </w:pPr>
      <w:r>
        <w:t xml:space="preserve">This mirrors the base-curve GIRR vs spread sensitivity split used in the bond book.</w:t>
      </w:r>
    </w:p>
    <w:p>
      <w:pPr>
        <w:pStyle w:val="Heading1"/>
        <w:spacing w:after="140" w:before="280"/>
      </w:pPr>
      <w:r>
        <w:t xml:space="preserve">3. Inputs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curves.xlsx</w:t>
      </w:r>
      <w:r>
        <w:t xml:space="preserve"> — curve tabs plus the </w:t>
      </w:r>
      <w:r>
        <w:rPr>
          <w:rFonts w:ascii="Consolas" w:cs="Consolas" w:eastAsia="Consolas" w:hAnsi="Consolas"/>
          <w:sz w:val="20"/>
          <w:szCs w:val="20"/>
        </w:rPr>
        <w:t xml:space="preserve">FX rates</w:t>
      </w:r>
      <w:r>
        <w:t xml:space="preserve"> tab (EUR = 1.0, USD = 1.1745, CHF = 0.9304 at the 2025-12-31 valuation date). </w:t>
      </w:r>
      <w:r>
        <w:rPr>
          <w:rFonts w:ascii="Consolas" w:cs="Consolas" w:eastAsia="Consolas" w:hAnsi="Consolas"/>
          <w:sz w:val="20"/>
          <w:szCs w:val="20"/>
        </w:rPr>
        <w:t xml:space="preserve">FX rates</w:t>
      </w:r>
      <w:r>
        <w:t xml:space="preserve"> must be excluded from the curve-loading loop.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Post_Determined_Input1.xlsx</w:t>
      </w:r>
      <w:r>
        <w:t xml:space="preserve"> — transposed </w:t>
      </w:r>
      <w:r>
        <w:rPr>
          <w:rFonts w:ascii="Consolas" w:cs="Consolas" w:eastAsia="Consolas" w:hAnsi="Consolas"/>
          <w:sz w:val="20"/>
          <w:szCs w:val="20"/>
        </w:rPr>
        <w:t xml:space="preserve">Float</w:t>
      </w:r>
      <w:r>
        <w:t xml:space="preserve"> tab (one leg per column) plus </w:t>
      </w:r>
      <w:r>
        <w:rPr>
          <w:rFonts w:ascii="Consolas" w:cs="Consolas" w:eastAsia="Consolas" w:hAnsi="Consolas"/>
          <w:sz w:val="20"/>
          <w:szCs w:val="20"/>
        </w:rPr>
        <w:t xml:space="preserve">Fixed</w:t>
      </w:r>
      <w:r>
        <w:t xml:space="preserve"> tab for fixed-fixed deals.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Historical_Fixing_Curves.xlsx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EUR-STR-ON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USD-STR-ON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CHF-OIS-ON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frtb_sa_report.csv</w:t>
      </w:r>
      <w:r>
        <w:t xml:space="preserve"> — RiskWatch FRTB reference.</w:t>
      </w:r>
    </w:p>
    <w:p>
      <w:pPr>
        <w:spacing w:after="140"/>
        <w:jc w:val="left"/>
      </w:pPr>
      <w:r>
        <w:t xml:space="preserve">Valuation date: </w:t>
      </w:r>
      <w:r>
        <w:rPr>
          <w:rFonts w:ascii="Consolas" w:cs="Consolas" w:eastAsia="Consolas" w:hAnsi="Consolas"/>
          <w:sz w:val="20"/>
          <w:szCs w:val="20"/>
        </w:rPr>
        <w:t xml:space="preserve">2025-12-31</w:t>
      </w:r>
      <w:r>
        <w:t xml:space="preserve">.</w:t>
      </w:r>
    </w:p>
    <w:p>
      <w:pPr>
        <w:pStyle w:val="Heading1"/>
        <w:spacing w:after="140" w:before="280"/>
      </w:pPr>
      <w:r>
        <w:t xml:space="preserve">4. Running</w:t>
      </w:r>
    </w:p>
    <w:p>
      <w:pPr>
        <w:shd w:fill="F4F4F4" w:val="clear"/>
        <w:spacing w:after="0" w:before="12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curves = load_curve_set('curves.xlsx', exclude=['FX rates'])</w:t>
      </w:r>
    </w:p>
    <w:p>
      <w:pPr>
        <w:shd w:fill="F4F4F4" w:val="clear"/>
        <w:spacing w:after="0" w:before="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port = CCSPortfolio(curves, 'Post_Determined_Input1.xlsx', 'Float',</w:t>
      </w:r>
    </w:p>
    <w:p>
      <w:pPr>
        <w:shd w:fill="F4F4F4" w:val="clear"/>
        <w:spacing w:after="0" w:before="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                '2025-12-31', fixed_sheet='Fixed',</w:t>
      </w:r>
    </w:p>
    <w:p>
      <w:pPr>
        <w:shd w:fill="F4F4F4" w:val="clear"/>
        <w:spacing w:after="0" w:before="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                fx_xlsx='curves.xlsx', fx_tab='FX rates',</w:t>
      </w:r>
    </w:p>
    <w:p>
      <w:pPr>
        <w:shd w:fill="F4F4F4" w:val="clear"/>
        <w:spacing w:after="0" w:before="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                    hist_fixings_xlsx='Historical_Fixing_Curves.xlsx')</w:t>
      </w:r>
    </w:p>
    <w:p>
      <w:pPr>
        <w:shd w:fill="F4F4F4" w:val="clear"/>
        <w:spacing w:after="160" w:before="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port.price()</w:t>
      </w:r>
    </w:p>
    <w:p>
      <w:pPr>
        <w:spacing w:after="140"/>
        <w:jc w:val="left"/>
      </w:pPr>
      <w:r>
        <w:t xml:space="preserve">or simply run </w:t>
      </w:r>
      <w:r>
        <w:rPr>
          <w:rFonts w:ascii="Consolas" w:cs="Consolas" w:eastAsia="Consolas" w:hAnsi="Consolas"/>
          <w:sz w:val="20"/>
          <w:szCs w:val="20"/>
        </w:rPr>
        <w:t xml:space="preserve">main_ccsbook.py</w:t>
      </w:r>
      <w:r>
        <w:t xml:space="preserve"> end to end.</w:t>
      </w:r>
    </w:p>
    <w:p>
      <w:pPr>
        <w:pStyle w:val="Heading1"/>
        <w:spacing w:after="140" w:before="280"/>
      </w:pPr>
      <w:r>
        <w:t xml:space="preserve">5. Book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Deal</w:t>
            </w:r>
          </w:p>
        </w:tc>
        <w:tc>
          <w:tcPr>
            <w:tcW w:type="dxa" w:w="1872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Pair</w:t>
            </w:r>
          </w:p>
        </w:tc>
        <w:tc>
          <w:tcPr>
            <w:tcW w:type="dxa" w:w="1872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RW MtM</w:t>
            </w:r>
          </w:p>
        </w:tc>
        <w:tc>
          <w:tcPr>
            <w:tcW w:type="dxa" w:w="3744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P1355660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EUR/CHF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−4,494,500.77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Reconciles to ~44 EUR (−0.001%). Residual attributed to a per-currency vs union calendar difference on the 2027-01-18 payment date (US MLK).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P1180855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EUR/USD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+8,849,212.60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~+4.12% off. Unresolved first-period EUR reset: RW appears to have booked ≈0.9% against a compounded EUR-STR-ON value of ≈1.936%.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b/>
          <w:bCs/>
        </w:rPr>
        <w:t xml:space="preserve">P1180855 cannot be closed by back-solving.</w:t>
      </w:r>
      <w:r>
        <w:t xml:space="preserve"> The correct booked reset rates must come from the RiskWatch cash-flow drilldown, i.e. from the source system.</w:t>
      </w:r>
    </w:p>
    <w:p>
      <w:pPr>
        <w:spacing w:after="140"/>
        <w:jc w:val="left"/>
      </w:pPr>
      <w:r>
        <w:t xml:space="preserve">MtM reconciles to machine precision on the rebuilt engine; interior GIRR vertices reconcile to ≤1e-6% error; XCCY basis reconciles exactly.</w:t>
      </w:r>
    </w:p>
    <w:p>
      <w:pPr>
        <w:pStyle w:val="Heading1"/>
        <w:spacing w:after="140" w:before="280"/>
      </w:pPr>
      <w:r>
        <w:t xml:space="preserve">6. Open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0.25Y short-end GIRR</w:t>
      </w:r>
      <w:r>
        <w:t xml:space="preserve"> — requires a par-rate bumping path (deposit and OIS quotes for EUR-STR, USD-STR, CHF-OIS) wired into the existing </w:t>
      </w:r>
      <w:r>
        <w:rPr>
          <w:rFonts w:ascii="Consolas" w:cs="Consolas" w:eastAsia="Consolas" w:hAnsi="Consolas"/>
          <w:sz w:val="20"/>
          <w:szCs w:val="20"/>
        </w:rPr>
        <w:t xml:space="preserve">SHORT_END_BUMP</w:t>
      </w:r>
      <w:r>
        <w:t xml:space="preserve"> hook. Documented, not closed.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P1180855 first-period EUR reset, as above.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Per-currency vs union holiday calendar convention on payment dates.</w:t>
      </w:r>
    </w:p>
    <w:p>
      <w:pPr>
        <w:pStyle w:val="Heading1"/>
        <w:spacing w:after="140" w:before="280"/>
      </w:pPr>
      <w:r>
        <w:t xml:space="preserve">7. Maintenance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RiskWatch is never back-solved from. Fix the blotter, not the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Full-book run before and after every change; raw output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 surgical edits; no dead code, no unrequested additions.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silent curve remapping or sign flips.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2.7-compatible syntax; CRLF preserved byte-level.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4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i/>
      <w:i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Cross Currency Swaps</dc:title>
  <dc:creator>E42656</dc:creator>
  <cp:lastModifiedBy>Un-named</cp:lastModifiedBy>
  <cp:revision>1</cp:revision>
  <dcterms:created xsi:type="dcterms:W3CDTF">2026-08-20T10:19:59.513Z</dcterms:created>
  <dcterms:modified xsi:type="dcterms:W3CDTF">2026-08-20T10:19:59.513Z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