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European Swaptions — Bachelier Pricing and FRTB SA Sensitivities</w:t>
      </w:r>
    </w:p>
    <w:p>
      <w:pPr>
        <w:spacing w:after="140"/>
        <w:jc w:val="left"/>
      </w:pPr>
      <w:r>
        <w:t xml:space="preserve">Production-complete engine for European swaptions: Bachelier (normal) pricing off a volatility surface, plus all three FRTB SA sensitivity measures — GIRR delta, curvature and vega — reconciled against RiskWatch.</w:t>
      </w:r>
    </w:p>
    <w:p>
      <w:pPr>
        <w:spacing w:after="140"/>
        <w:jc w:val="left"/>
      </w:pPr>
      <w:r>
        <w:t xml:space="preserve">Author: E42656</w:t>
      </w:r>
    </w:p>
    <w:p>
      <w:pPr>
        <w:spacing w:after="140"/>
        <w:jc w:val="left"/>
      </w:pPr>
      <w:r>
        <w:rPr>
          <w:b/>
          <w:bCs/>
        </w:rPr>
        <w:t xml:space="preserve">Status:</w:t>
      </w:r>
      <w:r>
        <w:t xml:space="preserve"> the full chain runs through </w:t>
      </w:r>
      <w:r>
        <w:rPr>
          <w:rFonts w:ascii="Consolas" w:cs="Consolas" w:eastAsia="Consolas" w:hAnsi="Consolas"/>
          <w:sz w:val="20"/>
          <w:szCs w:val="20"/>
        </w:rPr>
        <w:t xml:space="preserve">swaptionMain.main()</w:t>
      </w:r>
      <w:r>
        <w:t xml:space="preserve"> with all three measures reconciling at </w:t>
      </w:r>
      <w:r>
        <w:rPr>
          <w:b/>
          <w:bCs/>
        </w:rPr>
        <w:t xml:space="preserve">0.000000% worst error</w:t>
      </w:r>
      <w:r>
        <w:t xml:space="preserve"> on matched cells.</w:t>
      </w:r>
    </w:p>
    <w:p>
      <w:pPr>
        <w:pStyle w:val="Heading1"/>
        <w:spacing w:after="140" w:before="280"/>
      </w:pPr>
      <w:r>
        <w:t xml:space="preserve">1. Module map (14 scripts)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swaptionMain.py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 point;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runs the full chain. All configuration lives here.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swaptionPortfolio.py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Deal assembly from the blotter, book pricing, RiskWatch MtM join.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swaptionPricing.py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Bachelier pricing: float leg NPV, swap yield, moneyness, vol lookup,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</w:rPr>
              <w:t xml:space="preserve"> parameter, MtM.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swaptionScenario.py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scenario/shock generation used by all three sensitivity modules.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swaptionGirr.py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GIRR delta.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swaptionCurvature.py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Curvature.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swaptionVega.py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Vega, including the folding rule onto the RiskWatch grid.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swaptionSensitivity.py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Combiner across the three measures.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swaptionDiagnostics.py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Per-deal pricing diagnostics.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swaptionSensitivityDiagnostics.py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Per-vertex sensitivity attribution and ownership analysis.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volatilitySurface.py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SurfaceSet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loads vol surfaces, bilinear interpolation.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preDeterminedSwapPricing.py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Supplies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Swap</w:t>
            </w:r>
            <w:r>
              <w:rPr>
                <w:b w:val="false"/>
                <w:bCs w:val="false"/>
                <w:sz w:val="20"/>
                <w:szCs w:val="20"/>
              </w:rPr>
              <w:t xml:space="preserve"> leg engine.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linearInterpolation.py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Curve loading and interpolation.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sensitivity.py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tent-shock machinery.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t xml:space="preserve">Architectural decisions locked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imports from the preDetermined swap </w:t>
      </w:r>
      <w:r>
        <w:rPr>
          <w:b/>
          <w:bCs/>
          <w:i/>
          <w:iCs/>
        </w:rPr>
        <w:t xml:space="preserve">sensitivity</w:t>
      </w:r>
      <w:r>
        <w:rPr>
          <w:b/>
          <w:bCs/>
        </w:rPr>
        <w:t xml:space="preserve"> scripts</w:t>
      </w:r>
      <w:r>
        <w:t xml:space="preserve"> in the swaption sensitivity modules — shared helpers are inlined deliberately.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script per sensitivity measure, plus a shared scenario module and a combiner.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Unmatched swaptions are </w:t>
      </w:r>
      <w:r>
        <w:rPr>
          <w:b/>
          <w:bCs/>
        </w:rPr>
        <w:t xml:space="preserve">shown in all output tabs</w:t>
      </w:r>
      <w:r>
        <w:t xml:space="preserve">, not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Notional is read from the </w:t>
      </w:r>
      <w:r>
        <w:rPr>
          <w:b/>
          <w:bCs/>
        </w:rPr>
        <w:t xml:space="preserve">leg tabs</w:t>
      </w:r>
      <w:r>
        <w:t xml:space="preserve">, not from a separate Swaption input tab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Non-risk-factor curves are excluded from </w:t>
      </w:r>
      <w:r>
        <w:rPr>
          <w:b/>
          <w:bCs/>
        </w:rPr>
        <w:t xml:space="preserve">both</w:t>
      </w:r>
      <w:r>
        <w:t xml:space="preserve"> GIRR and curvature.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 surface tab name is read from each deal's blotter field, never hardcoded.</w:t>
      </w:r>
    </w:p>
    <w:p>
      <w:pPr>
        <w:pBdr>
          <w:left w:val="single" w:color="888888" w:sz="12" w:space="8"/>
        </w:pBdr>
        <w:spacing w:after="120" w:before="120"/>
        <w:ind w:left="360"/>
      </w:pPr>
      <w:r>
        <w:rPr>
          <w:b/>
          <w:bCs/>
          <w:i/>
          <w:iCs/>
          <w:sz w:val="21"/>
          <w:szCs w:val="21"/>
        </w:rPr>
        <w:t xml:space="preserve">Open architectural item.</w:t>
      </w:r>
      <w:r>
        <w:rPr>
          <w:i/>
          <w:iCs/>
          <w:sz w:val="21"/>
          <w:szCs w:val="21"/>
        </w:rPr>
        <w:t xml:space="preserve">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swaptionPricing</w:t>
      </w:r>
      <w:r>
        <w:rPr>
          <w:i/>
          <w:iCs/>
          <w:sz w:val="21"/>
          <w:szCs w:val="21"/>
        </w:rPr>
        <w:t xml:space="preserve"> still imports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Swap</w:t>
      </w:r>
      <w:r>
        <w:rPr>
          <w:i/>
          <w:iCs/>
          <w:sz w:val="21"/>
          <w:szCs w:val="21"/>
        </w:rPr>
        <w:t xml:space="preserve"> from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preDeterminedSwapPricing</w:t>
      </w:r>
      <w:r>
        <w:rPr>
          <w:i/>
          <w:iCs/>
          <w:sz w:val="21"/>
          <w:szCs w:val="21"/>
        </w:rPr>
        <w:t xml:space="preserve">. This is a different category of dependency from the sensitivity helpers that were severed — it is the leg engine — but it remains the one unresolved coupling.</w:t>
      </w:r>
    </w:p>
    <w:p>
      <w:pPr>
        <w:pStyle w:val="Heading1"/>
        <w:spacing w:after="140" w:before="280"/>
      </w:pPr>
      <w:r>
        <w:t xml:space="preserve">2. Pricing methodology</w:t>
      </w:r>
    </w:p>
    <w:p>
      <w:pPr>
        <w:spacing w:after="140"/>
        <w:jc w:val="left"/>
      </w:pPr>
      <w:r>
        <w:t xml:space="preserve">Four steps, following the reference workbook </w:t>
      </w:r>
      <w:r>
        <w:rPr>
          <w:rFonts w:ascii="Consolas" w:cs="Consolas" w:eastAsia="Consolas" w:hAnsi="Consolas"/>
          <w:sz w:val="20"/>
          <w:szCs w:val="20"/>
        </w:rPr>
        <w:t xml:space="preserve">Swaption_Pricing_Haris.xlsm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Float leg NPV</w:t>
      </w:r>
      <w:r>
        <w:t xml:space="preserve"> — computed exactly as for pre-determined swaps.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Swap yield</w:t>
      </w:r>
      <w:r>
        <w:t xml:space="preserve"> — derived using the cashflow dates of the </w:t>
      </w:r>
      <w:r>
        <w:rPr>
          <w:b/>
          <w:bCs/>
        </w:rPr>
        <w:t xml:space="preserve">fixed</w:t>
      </w:r>
      <w:r>
        <w:t xml:space="preserve"> leg.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Volatility</w:t>
      </w:r>
      <w:r>
        <w:t xml:space="preserve"> — moneyness is computed from the yield and strike; the vol surface is then interpolated </w:t>
      </w:r>
      <w:r>
        <w:rPr>
          <w:b/>
          <w:bCs/>
        </w:rPr>
        <w:t xml:space="preserve">bilinearly</w:t>
      </w:r>
      <w:r>
        <w:t xml:space="preserve">: first along the date axis for the given expiry, then along the moneyness axis.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Bachelier (normal) model</w:t>
      </w:r>
      <w:r>
        <w:t xml:space="preserve"> — form the normal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t xml:space="preserve"> parameter, evaluate the probability and cumulative density functions, and combine into the MtM.</w:t>
      </w:r>
    </w:p>
    <w:p>
      <w:pPr>
        <w:spacing w:after="140"/>
        <w:jc w:val="left"/>
      </w:pPr>
      <w:r>
        <w:t xml:space="preserve">Underlying conventions inherited from the swap engine: discount factors </w:t>
      </w:r>
      <w:r>
        <w:rPr>
          <w:rFonts w:ascii="Consolas" w:cs="Consolas" w:eastAsia="Consolas" w:hAnsi="Consolas"/>
          <w:sz w:val="20"/>
          <w:szCs w:val="20"/>
        </w:rPr>
        <w:t xml:space="preserve">1/(1+z)^(days/365)</w:t>
      </w:r>
      <w:r>
        <w:t xml:space="preserve">, forwards from discount factor ratios, per-leg currency calendars, </w:t>
      </w:r>
      <w:r>
        <w:rPr>
          <w:rFonts w:ascii="Consolas" w:cs="Consolas" w:eastAsia="Consolas" w:hAnsi="Consolas"/>
          <w:sz w:val="20"/>
          <w:szCs w:val="20"/>
        </w:rPr>
        <w:t xml:space="preserve">actual/360</w:t>
      </w:r>
      <w:r>
        <w:t xml:space="preserve"> blotter correction retained for two specific deals.</w:t>
      </w:r>
    </w:p>
    <w:p>
      <w:pPr>
        <w:spacing w:after="14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SurfaceSet</w:t>
      </w:r>
      <w:r>
        <w:t xml:space="preserve"> records load failures </w:t>
      </w:r>
      <w:r>
        <w:rPr>
          <w:b/>
          <w:bCs/>
        </w:rPr>
        <w:t xml:space="preserve">with reasons</w:t>
      </w:r>
      <w:r>
        <w:t xml:space="preserve"> rather than silently dropping a surface.</w:t>
      </w:r>
    </w:p>
    <w:p>
      <w:pPr>
        <w:pStyle w:val="Heading1"/>
        <w:spacing w:after="140" w:before="280"/>
      </w:pPr>
      <w:r>
        <w:t xml:space="preserve">3. Sensitivity methodology</w:t>
      </w:r>
    </w:p>
    <w:p>
      <w:pPr>
        <w:pStyle w:val="Heading2"/>
        <w:spacing w:after="140" w:before="280"/>
      </w:pPr>
      <w:r>
        <w:t xml:space="preserve">GIRR delta</w:t>
      </w:r>
    </w:p>
    <w:p>
      <w:pPr>
        <w:spacing w:after="140"/>
        <w:jc w:val="left"/>
      </w:pPr>
      <w:r>
        <w:t xml:space="preserve">Tent shocks per FRTB vertex, applied per physical curve, one-sided forward difference, tents clipped to zero outside the vertex grid, converted to EUR reporting currency. Partition-of-unity check against a parallel 1bp bump is the standard validation.</w:t>
      </w:r>
    </w:p>
    <w:p>
      <w:pPr>
        <w:pStyle w:val="Heading2"/>
        <w:spacing w:after="140" w:before="280"/>
      </w:pPr>
      <w:r>
        <w:t xml:space="preserve">Curvature</w:t>
      </w:r>
    </w:p>
    <w:p>
      <w:pPr>
        <w:spacing w:after="140"/>
        <w:jc w:val="left"/>
      </w:pPr>
      <w:r>
        <w:t xml:space="preserve">Uses the same scenario module as GIRR. Non-risk-factor curves excluded.</w:t>
      </w:r>
    </w:p>
    <w:p>
      <w:pPr>
        <w:pStyle w:val="Heading2"/>
        <w:spacing w:after="140" w:before="280"/>
      </w:pPr>
      <w:r>
        <w:t xml:space="preserve">Vega</w:t>
      </w:r>
    </w:p>
    <w:p>
      <w:pPr>
        <w:spacing w:after="140"/>
        <w:jc w:val="left"/>
      </w:pPr>
      <w:r>
        <w:t xml:space="preserve">Vega is </w:t>
      </w:r>
      <w:r>
        <w:rPr>
          <w:b/>
          <w:bCs/>
        </w:rPr>
        <w:t xml:space="preserve">folded onto RiskWatch's coarser grid</w:t>
      </w:r>
      <w:r>
        <w:t xml:space="preserve"> using the </w:t>
      </w:r>
      <w:r>
        <w:rPr>
          <w:i/>
          <w:iCs/>
        </w:rPr>
        <w:t xml:space="preserve">share-either-axis</w:t>
      </w:r>
      <w:r>
        <w:t xml:space="preserve"> rule: a fine-grid vega cell contributes to a RiskWatch cell when it shares either the expiry or the tenor axis value.</w:t>
      </w:r>
    </w:p>
    <w:p>
      <w:pPr>
        <w:pStyle w:val="Heading2"/>
        <w:spacing w:after="140" w:before="280"/>
      </w:pPr>
      <w:r>
        <w:t xml:space="preserve">Tolerance</w:t>
      </w:r>
    </w:p>
    <w:p>
      <w:pPr>
        <w:spacing w:after="140"/>
        <w:jc w:val="left"/>
      </w:pPr>
      <w:r>
        <w:t xml:space="preserve">Negligible-value threshold is </w:t>
      </w:r>
      <w:r>
        <w:rPr>
          <w:b/>
          <w:bCs/>
        </w:rPr>
        <w:t xml:space="preserve">absolute 1e-4</w:t>
      </w:r>
      <w:r>
        <w:t xml:space="preserve">, not relative.</w:t>
      </w:r>
    </w:p>
    <w:p>
      <w:pPr>
        <w:pStyle w:val="Heading1"/>
        <w:spacing w:after="140" w:before="280"/>
      </w:pPr>
      <w:r>
        <w:t xml:space="preserve">4. Running</w:t>
      </w:r>
    </w:p>
    <w:p>
      <w:pPr>
        <w:shd w:fill="F4F4F4" w:val="clear"/>
        <w:spacing w:after="0" w:before="12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import swaptionMain</w:t>
      </w:r>
    </w:p>
    <w:p>
      <w:pPr>
        <w:shd w:fill="F4F4F4" w:val="clear"/>
        <w:spacing w:after="160" w:before="0"/>
        <w:ind w:left="288"/>
      </w:pPr>
      <w:r>
        <w:rPr>
          <w:rFonts w:ascii="Consolas" w:cs="Consolas" w:eastAsia="Consolas" w:hAnsi="Consolas"/>
          <w:sz w:val="18"/>
          <w:szCs w:val="18"/>
        </w:rPr>
        <w:t xml:space="preserve">swaptionMain.main()</w:t>
      </w:r>
    </w:p>
    <w:p>
      <w:pPr>
        <w:spacing w:after="140"/>
        <w:jc w:val="left"/>
      </w:pPr>
      <w:r>
        <w:t xml:space="preserve">Configuration — file paths, valuation date, vertex grid, tolerances — is centralised in </w:t>
      </w:r>
      <w:r>
        <w:rPr>
          <w:rFonts w:ascii="Consolas" w:cs="Consolas" w:eastAsia="Consolas" w:hAnsi="Consolas"/>
          <w:sz w:val="20"/>
          <w:szCs w:val="20"/>
        </w:rPr>
        <w:t xml:space="preserve">swaptionMain.py</w:t>
      </w:r>
      <w:r>
        <w:t xml:space="preserve">.</w:t>
      </w:r>
    </w:p>
    <w:p>
      <w:pPr>
        <w:pStyle w:val="Heading1"/>
        <w:spacing w:after="140" w:before="280"/>
      </w:pPr>
      <w:r>
        <w:t xml:space="preserve">5. Verified synthetically but not yet against live data</w:t>
      </w:r>
    </w:p>
    <w:p>
      <w:pPr>
        <w:spacing w:after="140"/>
        <w:jc w:val="left"/>
      </w:pPr>
      <w:r>
        <w:t xml:space="preserve">Both of these are implemented and unit-checked, but the uploaded workbook did not contain the data needed to confirm them end to 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Seller/Buyer position sign flip</w:t>
      </w:r>
      <w:r>
        <w:t xml:space="preserve"> — the column was absent from the uploaded workbook.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Vega folding rule</w:t>
      </w:r>
      <w:r>
        <w:t xml:space="preserve"> — deal P1591968 was not in the uploaded book. Re-upload a workbook containing it to verify live.</w:t>
      </w:r>
    </w:p>
    <w:p>
      <w:pPr>
        <w:pStyle w:val="Heading1"/>
        <w:spacing w:after="140" w:before="280"/>
      </w:pPr>
      <w:r>
        <w:t xml:space="preserve">6.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verification of the two items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Resolution (or formal acceptance) of the </w:t>
      </w:r>
      <w:r>
        <w:rPr>
          <w:rFonts w:ascii="Consolas" w:cs="Consolas" w:eastAsia="Consolas" w:hAnsi="Consolas"/>
          <w:sz w:val="20"/>
          <w:szCs w:val="20"/>
        </w:rPr>
        <w:t xml:space="preserve">swaptionPricing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preDeterminedSwapPricing</w:t>
      </w:r>
      <w:r>
        <w:t xml:space="preserve">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0.25Y GIRR short-end reconciliation gap</w:t>
      </w:r>
      <w:r>
        <w:t xml:space="preserve"> — as in the CCS and swap pipelines, closing this requires par-rate bumping inputs (deposit / OIS par quotes) rather than pre-built zero curves.</w:t>
      </w:r>
    </w:p>
    <w:p>
      <w:pPr>
        <w:pStyle w:val="Heading1"/>
        <w:spacing w:after="140" w:before="280"/>
      </w:pPr>
      <w:r>
        <w:t xml:space="preserve">7. Maintenance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RiskWatch is the sole arbiter of correctness and is never back-solved into inputs or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fix validated empirically — full book run before and after, raw engine output shown rather than a claimed result.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Minimal, surgical edits. No collateral changes, no dead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String replacements are assertion-checked to match exactly once.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2.7-compatible syntax; CRLF line endings preserved byte-level.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stays in </w:t>
      </w:r>
      <w:r>
        <w:rPr>
          <w:rFonts w:ascii="Consolas" w:cs="Consolas" w:eastAsia="Consolas" w:hAnsi="Consolas"/>
          <w:sz w:val="20"/>
          <w:szCs w:val="20"/>
        </w:rPr>
        <w:t xml:space="preserve">swaptionMain.py</w:t>
      </w:r>
      <w:r>
        <w:t xml:space="preserve">; no globals in portfolio constructors.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Residuals traced to market data precision identify the </w:t>
      </w:r>
      <w:r>
        <w:rPr>
          <w:b/>
          <w:bCs/>
        </w:rPr>
        <w:t xml:space="preserve">data source to correct</w:t>
      </w:r>
      <w:r>
        <w:t xml:space="preserve"> — they are never hardcoded away.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4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i/>
      <w:i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Swaptions</dc:title>
  <dc:creator>E42656</dc:creator>
  <cp:lastModifiedBy>Un-named</cp:lastModifiedBy>
  <cp:revision>1</cp:revision>
  <dcterms:created xsi:type="dcterms:W3CDTF">2026-08-20T10:19:59.688Z</dcterms:created>
  <dcterms:modified xsi:type="dcterms:W3CDTF">2026-08-20T10:19:59.688Z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