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8C"/>
          <w:sz w:val="30"/>
          <w:szCs w:val="30"/>
        </w:rPr>
        <w:t xml:space="preserve">SE Lab 3 – Architecture Selection &amp; Justification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NAME: HARSHA K R   |   SRN: PES1UG24AM114   |   Problem #16: Remote Patient Vitals Alert &amp; Monitoring App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 Selection: </w:t>
      </w:r>
      <w:r>
        <w:rPr>
          <w:rFonts w:ascii="Calibri" w:cs="Calibri" w:eastAsia="Calibri" w:hAnsi="Calibri"/>
          <w:sz w:val="21"/>
          <w:szCs w:val="21"/>
        </w:rPr>
        <w:t xml:space="preserve">We chose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Microservices Architecture</w:t>
      </w:r>
      <w:r>
        <w:rPr>
          <w:rFonts w:ascii="Calibri" w:cs="Calibri" w:eastAsia="Calibri" w:hAnsi="Calibri"/>
          <w:sz w:val="21"/>
          <w:szCs w:val="21"/>
        </w:rPr>
        <w:t xml:space="preserve"> for the Remote Patient Vitals Alert &amp; Monitoring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1726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Style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Layered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separation of concerns; easy to understand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Tight coupling; hard to scale one part (ingestion)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chosen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Client-Server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control; simple deployment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point of failure; scalability bottleneck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Fault isolation; independent scaling and deployment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Operational complexity; network latency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Selected</w:t>
            </w:r>
          </w:p>
        </w:tc>
      </w:tr>
    </w:tbl>
    <w:p>
      <w:pPr>
        <w:keepNext/>
        <w:pBdr>
          <w:bottom w:val="single" w:color="1F4E8C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8C"/>
          <w:sz w:val="23"/>
          <w:szCs w:val="23"/>
        </w:rPr>
        <w:t xml:space="preserve">Architectural Choice</w:t>
      </w:r>
    </w:p>
    <w:p>
      <w:pPr>
        <w:spacing w:after="90" w:line="252"/>
      </w:pPr>
      <w:r>
        <w:rPr>
          <w:rFonts w:ascii="Calibri" w:cs="Calibri" w:eastAsia="Calibri" w:hAnsi="Calibri"/>
          <w:sz w:val="21"/>
          <w:szCs w:val="21"/>
        </w:rPr>
        <w:t xml:space="preserve">Microservices. The system is split into independently deployable components – Telemetry Ingestion, Threshold Evaluation, Alert Escalation, Notification, Caregiver Dashboard and a Vitals Data Store – that communicate only through defined interfaces (ITelemetryStream, IVitalsEvaluation, IAlertRaise, IAlertAck, INotificationDispatch, IVitalsStorage, IVitalsQuery, IDashboardAPI, ISOSTrigger).</w:t>
      </w:r>
    </w:p>
    <w:p>
      <w:pPr>
        <w:keepNext/>
        <w:pBdr>
          <w:bottom w:val="single" w:color="1F4E8C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8C"/>
          <w:sz w:val="23"/>
          <w:szCs w:val="23"/>
        </w:rPr>
        <w:t xml:space="preserve">Two Reasons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Fault isolation for life-critical alerting. </w:t>
      </w:r>
      <w:r>
        <w:rPr>
          <w:rFonts w:ascii="Calibri" w:cs="Calibri" w:eastAsia="Calibri" w:hAnsi="Calibri"/>
          <w:sz w:val="21"/>
          <w:szCs w:val="21"/>
        </w:rPr>
        <w:t xml:space="preserve">The scenario demands 99.99% uptime and delivery of a critical alert within 30 seconds even if a channel fails (NFR001, NFR002). With microservices, a crash or slowdown in the Caregiver Dashboard or the data store queries cannot stop Alert Escalation or Notification. A single Client-Server backend would make one failure a single point of failure for a post-operative patient.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Independent scaling of the telemetry workload. </w:t>
      </w:r>
      <w:r>
        <w:rPr>
          <w:rFonts w:ascii="Calibri" w:cs="Calibri" w:eastAsia="Calibri" w:hAnsi="Calibri"/>
          <w:sz w:val="21"/>
          <w:szCs w:val="21"/>
        </w:rPr>
        <w:t xml:space="preserve">Ingestion must handle at least 500 concurrent continuous vitals streams (NFR001) and flag anomalies within 2 seconds (FR001, FR002). Ingestion and Threshold Evaluation can be scaled out on their own, while low-traffic components such as the Dashboard stay small – something a layered monolith cannot do.</w:t>
      </w:r>
    </w:p>
    <w:p>
      <w:pPr>
        <w:keepNext/>
        <w:pBdr>
          <w:bottom w:val="single" w:color="1F4E8C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8C"/>
          <w:sz w:val="23"/>
          <w:szCs w:val="23"/>
        </w:rPr>
        <w:t xml:space="preserve">Security Advantage</w:t>
      </w:r>
    </w:p>
    <w:p>
      <w:pPr>
        <w:spacing w:after="90" w:line="252"/>
      </w:pPr>
      <w:r>
        <w:rPr>
          <w:rFonts w:ascii="Calibri" w:cs="Calibri" w:eastAsia="Calibri" w:hAnsi="Calibri"/>
          <w:sz w:val="21"/>
          <w:szCs w:val="21"/>
        </w:rPr>
        <w:t xml:space="preserve">Each service exposes only one narrow interface, so a compromised component has a limited blast radius. Patient health data (HIPAA-class) is confined to Ingestion, Evaluation and the Data Store; the Notification Service receives only a minimal alert payload. All service-to-service traffic uses TLS 1.2+ and the Data Store is encrypted with AES-256 (NFR002), and the Dashboard Service authenticates every caregiver before acknowledgement or viewing vitals (FR004).</w:t>
      </w:r>
    </w:p>
    <w:p>
      <w:pPr>
        <w:keepNext/>
        <w:pBdr>
          <w:bottom w:val="single" w:color="1F4E8C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8C"/>
          <w:sz w:val="23"/>
          <w:szCs w:val="23"/>
        </w:rPr>
        <w:t xml:space="preserve">Performance Benefit</w:t>
      </w:r>
    </w:p>
    <w:p>
      <w:pPr>
        <w:spacing w:after="90" w:line="252"/>
      </w:pPr>
      <w:r>
        <w:rPr>
          <w:rFonts w:ascii="Calibri" w:cs="Calibri" w:eastAsia="Calibri" w:hAnsi="Calibri"/>
          <w:sz w:val="21"/>
          <w:szCs w:val="21"/>
        </w:rPr>
        <w:t xml:space="preserve">Asynchronous, event-driven messaging between Ingestion → Evaluation → Escalation lets each stage work in parallel without blocking, so a threshold breach reaches the caregiver within the 2-second target. The Emergency SOS path (ISOSTrigger) goes straight to Alert Escalation and bypasses threshold evaluation, meeting FR005. Trade-off: network latency and operational complexity are accepted and handled with a message queue, health checks and container orchestration.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2026-10-01T09:27:32.043Z</dcterms:created>
  <dcterms:modified xsi:type="dcterms:W3CDTF">2026-10-01T09:27:32.048Z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