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b w:val="1"/>
          <w:bCs w:val="1"/>
          <w:color w:val="1f1f1f"/>
          <w:sz w:val="44"/>
          <w:szCs w:val="44"/>
        </w:rPr>
      </w:pPr>
      <w:bookmarkStart w:colFirst="0" w:colLast="0" w:name="_10rhpyn5gejz" w:id="0"/>
      <w:bookmarkEnd w:id="0"/>
      <w:r w:rsidDel="00000000" w:rsidR="00000000" w:rsidRPr="00000000">
        <w:rPr>
          <w:rFonts w:ascii="Calibri" w:cs="Calibri" w:eastAsia="Calibri" w:hAnsi="Calibri"/>
          <w:b w:val="1"/>
          <w:bCs w:val="1"/>
          <w:color w:val="1f1f1f"/>
          <w:sz w:val="44"/>
          <w:szCs w:val="44"/>
          <w:rtl w:val="0"/>
        </w:rPr>
        <w:t xml:space="preserve">China’s Builds First Huawei Tower in Malaita; Preaches “Chinese Modernization” and More: Last Week in the Pacific</w:t>
      </w:r>
    </w:p>
    <w:p>
      <w:pPr>
        <w:spacing w:before="60" w:after="240"/>
      </w:pPr>
      <w:r>
        <w:rPr>
          <w:rFonts w:ascii="Calibri" w:hAnsi="Calibri"/>
          <w:color w:val="666666"/>
          <w:sz w:val="20"/>
          <w:szCs w:val="20"/>
        </w:rPr>
        <w:t>January 26 – February 1, 2026</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Calibri" w:cs="Calibri" w:eastAsia="Calibri" w:hAnsi="Calibri"/>
          <w:b w:val="1"/>
          <w:bCs w:val="1"/>
        </w:rPr>
      </w:pPr>
      <w:bookmarkStart w:colFirst="0" w:colLast="0" w:name="_ktb35i184da" w:id="2"/>
      <w:bookmarkEnd w:id="2"/>
      <w:r w:rsidDel="00000000" w:rsidR="00000000" w:rsidRPr="00000000">
        <w:rPr>
          <w:rFonts w:ascii="Calibri" w:cs="Calibri" w:eastAsia="Calibri" w:hAnsi="Calibri"/>
          <w:b w:val="1"/>
          <w:bCs w:val="1"/>
          <w:rtl w:val="0"/>
        </w:rPr>
        <w:t xml:space="preserve">Summary of PRC Activity</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This week’s activity demonstrates a sophisticated </w:t>
      </w:r>
      <w:r w:rsidDel="00000000" w:rsidR="00000000" w:rsidRPr="00000000">
        <w:rPr>
          <w:rFonts w:ascii="Calibri" w:cs="Calibri" w:eastAsia="Calibri" w:hAnsi="Calibri"/>
          <w:b w:val="1"/>
          <w:bCs w:val="1"/>
          <w:color w:val="1f1f1f"/>
          <w:rtl w:val="0"/>
        </w:rPr>
        <w:t xml:space="preserve">"Three-Layer" strategy</w:t>
      </w:r>
      <w:r w:rsidDel="00000000" w:rsidR="00000000" w:rsidRPr="00000000">
        <w:rPr>
          <w:rFonts w:ascii="Calibri" w:cs="Calibri" w:eastAsia="Calibri" w:hAnsi="Calibri"/>
          <w:color w:val="1f1f1f"/>
          <w:rtl w:val="0"/>
        </w:rPr>
        <w:t xml:space="preserve"> of PRC engagement across the Pacific. At the </w:t>
      </w:r>
      <w:r w:rsidDel="00000000" w:rsidR="00000000" w:rsidRPr="00000000">
        <w:rPr>
          <w:rFonts w:ascii="Calibri" w:cs="Calibri" w:eastAsia="Calibri" w:hAnsi="Calibri"/>
          <w:b w:val="1"/>
          <w:bCs w:val="1"/>
          <w:color w:val="1f1f1f"/>
          <w:rtl w:val="0"/>
        </w:rPr>
        <w:t xml:space="preserve">elite level</w:t>
      </w:r>
      <w:r w:rsidDel="00000000" w:rsidR="00000000" w:rsidRPr="00000000">
        <w:rPr>
          <w:rFonts w:ascii="Calibri" w:cs="Calibri" w:eastAsia="Calibri" w:hAnsi="Calibri"/>
          <w:color w:val="1f1f1f"/>
          <w:rtl w:val="0"/>
        </w:rPr>
        <w:t xml:space="preserve">, Beijing solidified political alliances through high-prestige gifts (Fiji) and anniversary celebrations (Nauru). At the </w:t>
      </w:r>
      <w:r w:rsidDel="00000000" w:rsidR="00000000" w:rsidRPr="00000000">
        <w:rPr>
          <w:rFonts w:ascii="Calibri" w:cs="Calibri" w:eastAsia="Calibri" w:hAnsi="Calibri"/>
          <w:b w:val="1"/>
          <w:bCs w:val="1"/>
          <w:color w:val="1f1f1f"/>
          <w:rtl w:val="0"/>
        </w:rPr>
        <w:t xml:space="preserve">technical level</w:t>
      </w:r>
      <w:r w:rsidDel="00000000" w:rsidR="00000000" w:rsidRPr="00000000">
        <w:rPr>
          <w:rFonts w:ascii="Calibri" w:cs="Calibri" w:eastAsia="Calibri" w:hAnsi="Calibri"/>
          <w:color w:val="1f1f1f"/>
          <w:rtl w:val="0"/>
        </w:rPr>
        <w:t xml:space="preserve">, deep operational integration continued in the Solomon Islands with advancements in telecommunications, policing, and specialized medicine, effectively embedding Chinese standards into critical state functions. Finally, at the </w:t>
      </w:r>
      <w:r w:rsidDel="00000000" w:rsidR="00000000" w:rsidRPr="00000000">
        <w:rPr>
          <w:rFonts w:ascii="Calibri" w:cs="Calibri" w:eastAsia="Calibri" w:hAnsi="Calibri"/>
          <w:b w:val="1"/>
          <w:bCs w:val="1"/>
          <w:color w:val="1f1f1f"/>
          <w:rtl w:val="0"/>
        </w:rPr>
        <w:t xml:space="preserve">grassroots level</w:t>
      </w:r>
      <w:r w:rsidDel="00000000" w:rsidR="00000000" w:rsidRPr="00000000">
        <w:rPr>
          <w:rFonts w:ascii="Calibri" w:cs="Calibri" w:eastAsia="Calibri" w:hAnsi="Calibri"/>
          <w:color w:val="1f1f1f"/>
          <w:rtl w:val="0"/>
        </w:rPr>
        <w:t xml:space="preserve">, activity pivoted toward winning "hearts and minds" through localized grants (Kiribati), academic seminars (Tonga), and cultural sponsorships. The total volume of activity was high, with a clear strategic intent to present "Chinese Modernization" not just as a development model, but as a superior ideological alternative to Western governance.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d6ny2yret82z" w:id="3"/>
      <w:bookmarkEnd w:id="3"/>
      <w:r w:rsidDel="00000000" w:rsidR="00000000" w:rsidRPr="00000000">
        <w:rPr>
          <w:rFonts w:ascii="Calibri" w:cs="Calibri" w:eastAsia="Calibri" w:hAnsi="Calibri"/>
          <w:b w:val="1"/>
          <w:bCs w:val="1"/>
          <w:rtl w:val="0"/>
        </w:rPr>
        <w:t xml:space="preserve">This Week’s Big Themes</w: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Calibri" w:cs="Calibri" w:eastAsia="Calibri" w:hAnsi="Calibri"/>
          <w:b w:val="1"/>
          <w:bCs w:val="1"/>
          <w:color w:val="1f1f1f"/>
          <w:sz w:val="26"/>
          <w:szCs w:val="26"/>
        </w:rPr>
      </w:pPr>
      <w:bookmarkStart w:colFirst="0" w:colLast="0" w:name="_48hizzcga20b" w:id="4"/>
      <w:bookmarkEnd w:id="4"/>
      <w:r w:rsidDel="00000000" w:rsidR="00000000" w:rsidRPr="00000000">
        <w:rPr>
          <w:rFonts w:ascii="Calibri" w:cs="Calibri" w:eastAsia="Calibri" w:hAnsi="Calibri"/>
          <w:b w:val="1"/>
          <w:bCs w:val="1"/>
          <w:color w:val="000000"/>
          <w:sz w:val="26"/>
          <w:szCs w:val="26"/>
          <w:rtl w:val="0"/>
        </w:rPr>
        <w:t xml:space="preserve">Strategic Patronage &amp; Elite Consolidation</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Beijing invested heavily this week in the visibility and comfort of Pacific political elites. The donation of a Hongqi ("Red Flag") executive sedan—the vehicle of choice for CCP leadership—to the Fiji President is a potent symbol of state-to-state intimacy and prestige. Similarly, the intensive diplomatic scheduling in Nauru (meetings with the President, Speaker, and Cabinet) surrounding the two-year anniversary of ties suggests a concerted effort to "lock in" the relationship and showcase the tangible benefits of switching recognition. This "prestige diplomacy" serves to personally invest Pacific leaders in the bilateral relationship.</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Supporting Events</w:t>
      </w:r>
      <w:r w:rsidDel="00000000" w:rsidR="00000000" w:rsidRPr="00000000">
        <w:rPr>
          <w:rtl w:val="0"/>
        </w:rPr>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Fiji:</w:t>
      </w:r>
      <w:hyperlink r:id="rId6">
        <w:r w:rsidDel="00000000" w:rsidR="00000000" w:rsidRPr="00000000">
          <w:rPr>
            <w:rFonts w:ascii="Calibri" w:cs="Calibri" w:eastAsia="Calibri" w:hAnsi="Calibri"/>
            <w:color w:val="1f1f1f"/>
            <w:rtl w:val="0"/>
          </w:rPr>
          <w:t xml:space="preserve"> </w:t>
        </w:r>
      </w:hyperlink>
      <w:hyperlink r:id="rId7">
        <w:r w:rsidDel="00000000" w:rsidR="00000000" w:rsidRPr="00000000">
          <w:rPr>
            <w:rFonts w:ascii="Calibri" w:cs="Calibri" w:eastAsia="Calibri" w:hAnsi="Calibri"/>
            <w:color w:val="0b57d0"/>
            <w:u w:val="single"/>
            <w:rtl w:val="0"/>
          </w:rPr>
          <w:t xml:space="preserve">Donation of Hongqi 'Red Flag' Executive Sedan to President</w:t>
        </w:r>
      </w:hyperlink>
      <w:r w:rsidDel="00000000" w:rsidR="00000000" w:rsidRPr="00000000">
        <w:rPr>
          <w:rtl w:val="0"/>
        </w:rPr>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Nauru:</w:t>
      </w:r>
      <w:hyperlink r:id="rId8">
        <w:r w:rsidDel="00000000" w:rsidR="00000000" w:rsidRPr="00000000">
          <w:rPr>
            <w:rFonts w:ascii="Calibri" w:cs="Calibri" w:eastAsia="Calibri" w:hAnsi="Calibri"/>
            <w:color w:val="1f1f1f"/>
            <w:rtl w:val="0"/>
          </w:rPr>
          <w:t xml:space="preserve"> </w:t>
        </w:r>
      </w:hyperlink>
      <w:hyperlink r:id="rId9">
        <w:r w:rsidDel="00000000" w:rsidR="00000000" w:rsidRPr="00000000">
          <w:rPr>
            <w:rFonts w:ascii="Calibri" w:cs="Calibri" w:eastAsia="Calibri" w:hAnsi="Calibri"/>
            <w:color w:val="0b57d0"/>
            <w:u w:val="single"/>
            <w:rtl w:val="0"/>
          </w:rPr>
          <w:t xml:space="preserve">Meeting with President Adeang on 15th Five-Year Plan</w:t>
        </w:r>
      </w:hyperlink>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Calibri" w:cs="Calibri" w:eastAsia="Calibri" w:hAnsi="Calibri"/>
          <w:b w:val="1"/>
          <w:bCs w:val="1"/>
          <w:color w:val="1f1f1f"/>
          <w:rtl w:val="0"/>
        </w:rPr>
        <w:t xml:space="preserve">Vanuatu:</w:t>
      </w:r>
      <w:hyperlink r:id="rId10">
        <w:r w:rsidDel="00000000" w:rsidR="00000000" w:rsidRPr="00000000">
          <w:rPr>
            <w:rFonts w:ascii="Calibri" w:cs="Calibri" w:eastAsia="Calibri" w:hAnsi="Calibri"/>
            <w:color w:val="1f1f1f"/>
            <w:rtl w:val="0"/>
          </w:rPr>
          <w:t xml:space="preserve"> </w:t>
        </w:r>
      </w:hyperlink>
      <w:hyperlink r:id="rId11">
        <w:r w:rsidDel="00000000" w:rsidR="00000000" w:rsidRPr="00000000">
          <w:rPr>
            <w:rFonts w:ascii="Calibri" w:cs="Calibri" w:eastAsia="Calibri" w:hAnsi="Calibri"/>
            <w:color w:val="0b57d0"/>
            <w:u w:val="single"/>
            <w:rtl w:val="0"/>
          </w:rPr>
          <w:t xml:space="preserve">High-level meetings with Ministers of Justice and Foreign Affairs</w:t>
        </w:r>
      </w:hyperlink>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Calibri" w:cs="Calibri" w:eastAsia="Calibri" w:hAnsi="Calibri"/>
          <w:b w:val="1"/>
          <w:bCs w:val="1"/>
          <w:color w:val="1f1f1f"/>
          <w:sz w:val="26"/>
          <w:szCs w:val="26"/>
        </w:rPr>
      </w:pPr>
      <w:bookmarkStart w:colFirst="0" w:colLast="0" w:name="_9eo8apn4vu55" w:id="5"/>
      <w:bookmarkEnd w:id="5"/>
      <w:r w:rsidDel="00000000" w:rsidR="00000000" w:rsidRPr="00000000">
        <w:rPr>
          <w:b w:val="1"/>
          <w:bCs w:val="1"/>
          <w:color w:val="000000"/>
          <w:sz w:val="26"/>
          <w:szCs w:val="26"/>
          <w:rtl w:val="0"/>
        </w:rPr>
        <w:t xml:space="preserve">Technical &amp; Security Sector Integration</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The Solomon Islands </w:t>
      </w:r>
      <w:r w:rsidDel="00000000" w:rsidR="00000000" w:rsidRPr="00000000">
        <w:rPr>
          <w:rFonts w:ascii="Calibri" w:cs="Calibri" w:eastAsia="Calibri" w:hAnsi="Calibri"/>
          <w:color w:val="1f1f1f"/>
          <w:rtl w:val="0"/>
        </w:rPr>
        <w:t xml:space="preserve">demonstrates</w:t>
      </w:r>
      <w:r w:rsidDel="00000000" w:rsidR="00000000" w:rsidRPr="00000000">
        <w:rPr>
          <w:rFonts w:ascii="Calibri" w:cs="Calibri" w:eastAsia="Calibri" w:hAnsi="Calibri"/>
          <w:color w:val="1f1f1f"/>
          <w:rtl w:val="0"/>
        </w:rPr>
        <w:t xml:space="preserve"> an advanced stage of PRC operational integration. This week saw the simultaneous advancement of three distinct vectors of influence: digital infrastructure (Huawei tower activation), internal security (police training), and specialized healthcare (kidney surgery). This moves beyond transactional aid toward "technical sovereignty" capture, where the host nation becomes reliant on Chinese hardware, medical protocols, and security doctrines to function. The security briefing in Samoa further indicates an intent to normalize Chinese police liaison work across the wider region.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Supporting Events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Solomon Islands:</w:t>
      </w:r>
      <w:hyperlink r:id="rId12">
        <w:r w:rsidDel="00000000" w:rsidR="00000000" w:rsidRPr="00000000">
          <w:rPr>
            <w:rFonts w:ascii="Calibri" w:cs="Calibri" w:eastAsia="Calibri" w:hAnsi="Calibri"/>
            <w:color w:val="1f1f1f"/>
            <w:rtl w:val="0"/>
          </w:rPr>
          <w:t xml:space="preserve"> </w:t>
        </w:r>
      </w:hyperlink>
      <w:hyperlink r:id="rId13">
        <w:r w:rsidDel="00000000" w:rsidR="00000000" w:rsidRPr="00000000">
          <w:rPr>
            <w:rFonts w:ascii="Calibri" w:cs="Calibri" w:eastAsia="Calibri" w:hAnsi="Calibri"/>
            <w:color w:val="0b57d0"/>
            <w:u w:val="single"/>
            <w:rtl w:val="0"/>
          </w:rPr>
          <w:t xml:space="preserve">Activation of Huawei/CHEC Telecom Tower in Malaita</w:t>
        </w:r>
      </w:hyperlink>
      <w:r w:rsidDel="00000000" w:rsidR="00000000" w:rsidRPr="00000000">
        <w:rPr>
          <w:rtl w:val="0"/>
        </w:rPr>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Solomon Islands:</w:t>
      </w:r>
      <w:hyperlink r:id="rId14">
        <w:r w:rsidDel="00000000" w:rsidR="00000000" w:rsidRPr="00000000">
          <w:rPr>
            <w:rFonts w:ascii="Calibri" w:cs="Calibri" w:eastAsia="Calibri" w:hAnsi="Calibri"/>
            <w:color w:val="1f1f1f"/>
            <w:rtl w:val="0"/>
          </w:rPr>
          <w:t xml:space="preserve"> </w:t>
        </w:r>
      </w:hyperlink>
      <w:hyperlink r:id="rId15">
        <w:r w:rsidDel="00000000" w:rsidR="00000000" w:rsidRPr="00000000">
          <w:rPr>
            <w:rFonts w:ascii="Calibri" w:cs="Calibri" w:eastAsia="Calibri" w:hAnsi="Calibri"/>
            <w:color w:val="0b57d0"/>
            <w:u w:val="single"/>
            <w:rtl w:val="0"/>
          </w:rPr>
          <w:t xml:space="preserve">Completion of Police Training by Chinese Liaison Team</w:t>
        </w:r>
      </w:hyperlink>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Calibri" w:cs="Calibri" w:eastAsia="Calibri" w:hAnsi="Calibri"/>
          <w:b w:val="1"/>
          <w:bCs w:val="1"/>
          <w:color w:val="1f1f1f"/>
          <w:rtl w:val="0"/>
        </w:rPr>
        <w:t xml:space="preserve">Solomon Islands:</w:t>
      </w:r>
      <w:hyperlink r:id="rId16">
        <w:r w:rsidDel="00000000" w:rsidR="00000000" w:rsidRPr="00000000">
          <w:rPr>
            <w:rFonts w:ascii="Calibri" w:cs="Calibri" w:eastAsia="Calibri" w:hAnsi="Calibri"/>
            <w:color w:val="1f1f1f"/>
            <w:rtl w:val="0"/>
          </w:rPr>
          <w:t xml:space="preserve"> </w:t>
        </w:r>
      </w:hyperlink>
      <w:hyperlink r:id="rId17">
        <w:r w:rsidDel="00000000" w:rsidR="00000000" w:rsidRPr="00000000">
          <w:rPr>
            <w:rFonts w:ascii="Calibri" w:cs="Calibri" w:eastAsia="Calibri" w:hAnsi="Calibri"/>
            <w:color w:val="0b57d0"/>
            <w:u w:val="single"/>
            <w:rtl w:val="0"/>
          </w:rPr>
          <w:t xml:space="preserve">First Minimally Invasive Kidney Operation by Chinese Medical Team</w:t>
        </w:r>
      </w:hyperlink>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Calibri" w:cs="Calibri" w:eastAsia="Calibri" w:hAnsi="Calibri"/>
          <w:b w:val="1"/>
          <w:bCs w:val="1"/>
          <w:color w:val="1f1f1f"/>
          <w:sz w:val="30"/>
          <w:szCs w:val="30"/>
        </w:rPr>
      </w:pPr>
      <w:bookmarkStart w:colFirst="0" w:colLast="0" w:name="_45njen7s968z" w:id="6"/>
      <w:bookmarkEnd w:id="6"/>
      <w:r w:rsidDel="00000000" w:rsidR="00000000" w:rsidRPr="00000000">
        <w:rPr>
          <w:rFonts w:ascii="Calibri" w:cs="Calibri" w:eastAsia="Calibri" w:hAnsi="Calibri"/>
          <w:b w:val="1"/>
          <w:bCs w:val="1"/>
          <w:color w:val="1f1f1f"/>
          <w:rtl w:val="0"/>
        </w:rPr>
        <w:t xml:space="preserve">Ideological Projection &amp; Grassroots Narrative Control</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There was a notable push this week to shape the intellectual and cultural narrative in the region. In Tonga, a seminar on "Chinese Modernization" explicitly framed Western modernization as insufficient, positioning China's model as a better fit for the Pacific. In Vanuatu, the Ambassador’s op-ed reinforced this by linking local development to China's 15th Five-Year Plan. Meanwhile, granular community grants in Kiribati (trucks, markets) and cultural sponsorships in Nauru (beauty pageants) bypassed central governments to deliver direct benefits to local voters, effectively creating a "reservoir of goodwill" at the constituency level.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Supporting Events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Tonga:</w:t>
      </w:r>
      <w:hyperlink r:id="rId18">
        <w:r w:rsidDel="00000000" w:rsidR="00000000" w:rsidRPr="00000000">
          <w:rPr>
            <w:rFonts w:ascii="Calibri" w:cs="Calibri" w:eastAsia="Calibri" w:hAnsi="Calibri"/>
            <w:color w:val="1f1f1f"/>
            <w:rtl w:val="0"/>
          </w:rPr>
          <w:t xml:space="preserve"> </w:t>
        </w:r>
      </w:hyperlink>
      <w:hyperlink r:id="rId19">
        <w:r w:rsidDel="00000000" w:rsidR="00000000" w:rsidRPr="00000000">
          <w:rPr>
            <w:rFonts w:ascii="Calibri" w:cs="Calibri" w:eastAsia="Calibri" w:hAnsi="Calibri"/>
            <w:color w:val="0b57d0"/>
            <w:u w:val="single"/>
            <w:rtl w:val="0"/>
          </w:rPr>
          <w:t xml:space="preserve">Seminar on "Chinese Modernization" at National University</w:t>
        </w:r>
      </w:hyperlink>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Calibri" w:cs="Calibri" w:eastAsia="Calibri" w:hAnsi="Calibri"/>
          <w:b w:val="1"/>
          <w:bCs w:val="1"/>
          <w:color w:val="1f1f1f"/>
          <w:rtl w:val="0"/>
        </w:rPr>
        <w:t xml:space="preserve">Kiribati:</w:t>
      </w:r>
      <w:hyperlink r:id="rId20">
        <w:r w:rsidDel="00000000" w:rsidR="00000000" w:rsidRPr="00000000">
          <w:rPr>
            <w:rFonts w:ascii="Calibri" w:cs="Calibri" w:eastAsia="Calibri" w:hAnsi="Calibri"/>
            <w:color w:val="1f1f1f"/>
            <w:rtl w:val="0"/>
          </w:rPr>
          <w:t xml:space="preserve"> </w:t>
        </w:r>
      </w:hyperlink>
      <w:hyperlink r:id="rId21">
        <w:r w:rsidDel="00000000" w:rsidR="00000000" w:rsidRPr="00000000">
          <w:rPr>
            <w:rFonts w:ascii="Calibri" w:cs="Calibri" w:eastAsia="Calibri" w:hAnsi="Calibri"/>
            <w:color w:val="0b57d0"/>
            <w:u w:val="single"/>
            <w:rtl w:val="0"/>
          </w:rPr>
          <w:t xml:space="preserve">Direct Community Grants (Trucks/Markets) from Embassy Funds</w:t>
        </w:r>
      </w:hyperlink>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Calibri" w:cs="Calibri" w:eastAsia="Calibri" w:hAnsi="Calibri"/>
          <w:b w:val="1"/>
          <w:bCs w:val="1"/>
          <w:color w:val="1f1f1f"/>
          <w:rtl w:val="0"/>
        </w:rPr>
        <w:t xml:space="preserve">Vanuatu:</w:t>
      </w:r>
      <w:hyperlink r:id="rId22">
        <w:r w:rsidDel="00000000" w:rsidR="00000000" w:rsidRPr="00000000">
          <w:rPr>
            <w:rFonts w:ascii="Calibri" w:cs="Calibri" w:eastAsia="Calibri" w:hAnsi="Calibri"/>
            <w:color w:val="1f1f1f"/>
            <w:rtl w:val="0"/>
          </w:rPr>
          <w:t xml:space="preserve"> </w:t>
        </w:r>
      </w:hyperlink>
      <w:hyperlink r:id="rId23">
        <w:r w:rsidDel="00000000" w:rsidR="00000000" w:rsidRPr="00000000">
          <w:rPr>
            <w:rFonts w:ascii="Calibri" w:cs="Calibri" w:eastAsia="Calibri" w:hAnsi="Calibri"/>
            <w:color w:val="0b57d0"/>
            <w:u w:val="single"/>
            <w:rtl w:val="0"/>
          </w:rPr>
          <w:t xml:space="preserve">Ambassador's Op-Ed in Daily Post on Global Initiatives</w:t>
        </w:r>
      </w:hyperlink>
      <w:r w:rsidDel="00000000" w:rsidR="00000000" w:rsidRPr="00000000">
        <w:rPr>
          <w:rtl w:val="0"/>
        </w:rPr>
      </w:r>
    </w:p>
    <w:p>
      <w:r>
        <w:rPr>
          <w:color w:val="DAA520"/>
          <w:sz w:val="12"/>
        </w:rPr>
        <w:t>________________________________________</w:t>
      </w:r>
    </w:p>
    <w:p>
      <w:r>
        <w:rPr>
          <w:rFonts w:ascii="Calibri" w:hAnsi="Calibri"/>
          <w:color w:val="DAA520"/>
          <w:sz w:val="16"/>
          <w:vertAlign w:val="superscript"/>
        </w:rPr>
        <w:t xml:space="preserve">* </w:t>
      </w:r>
      <w:r>
        <w:rPr>
          <w:rFonts w:ascii="Calibri" w:hAnsi="Calibri"/>
          <w:color w:val="666666"/>
          <w:sz w:val="16"/>
        </w:rPr>
        <w:t>The PRC Pacific Embassies Monitor provides systematic, open-source tracking of Beijing’s public diplomatic activities across the nine Pacific Island Countries hosting Chinese missions. The monitor captures official embassy social media and website posts, supplemented by local sources, to offer weekly, structured intelligence reports that bridges critical information gaps on regional engagement.</w:t>
      </w:r>
    </w:p>
    <w:sectPr>
      <w:headerReference w:type="default" r:id="rId24"/>
      <w:footerReference w:type="default" r:id="rId25"/>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999999"/>
        <w:sz w:val="18"/>
        <w:szCs w:val="18"/>
      </w:rPr>
      <w:fldChar w:fldCharType="begin"/>
    </w:r>
    <w:r>
      <w:rPr>
        <w:rFonts w:ascii="Calibri" w:hAnsi="Calibri"/>
        <w:color w:val="999999"/>
        <w:sz w:val="18"/>
        <w:szCs w:val="18"/>
      </w:rPr>
      <w:instrText xml:space="preserve"> PAGE </w:instrText>
    </w:r>
    <w:r>
      <w:rPr>
        <w:rFonts w:ascii="Calibri" w:hAnsi="Calibri"/>
        <w:color w:val="999999"/>
        <w:sz w:val="18"/>
        <w:szCs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Borders>
        <w:top w:val="none" w:sz="0" w:space="0" w:color="auto"/>
        <w:left w:val="none" w:sz="0" w:space="0" w:color="auto"/>
        <w:bottom w:val="single" w:sz="8" w:space="0" w:color="DAA520"/>
        <w:right w:val="none" w:sz="0" w:space="0" w:color="auto"/>
        <w:insideH w:val="none" w:sz="0" w:space="0" w:color="auto"/>
        <w:insideV w:val="none" w:sz="0" w:space="0" w:color="auto"/>
      </w:tblBorders>
      <w:tblW w:type="pct" w:w="5000"/>
    </w:tblPr>
    <w:tblGrid>
      <w:gridCol w:w="4680"/>
      <w:gridCol w:w="4680"/>
    </w:tblGrid>
    <w:tr>
      <w:tc>
        <w:tcPr>
          <w:tcW w:type="dxa" w:w="4680"/>
          <w:vAlign w:val="center"/>
        </w:tcPr>
        <w:p>
          <w:pPr>
            <w:jc w:val="left"/>
          </w:pPr>
          <w:r>
            <w:rPr>
              <w:rFonts w:ascii="Calibri" w:hAnsi="Calibri"/>
              <w:b/>
              <w:color w:val="0A2540"/>
              <w:sz w:val="28"/>
            </w:rPr>
            <w:t>PRC Pacific Embassies Monitor</w:t>
          </w:r>
          <w:r>
            <w:rPr>
              <w:rFonts w:ascii="Calibri" w:hAnsi="Calibri"/>
              <w:color w:val="DAA520"/>
              <w:sz w:val="18"/>
              <w:vertAlign w:val="superscript"/>
            </w:rPr>
            <w:t>*</w:t>
          </w:r>
        </w:p>
      </w:tc>
      <w:tc>
        <w:tcPr>
          <w:tcW w:type="dxa" w:w="4680"/>
          <w:vAlign w:val="center"/>
        </w:tcPr>
        <w:p>
          <w:pPr>
            <w:jc w:val="right"/>
          </w:pP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tafi-logo-real.png"/>
                        <pic:cNvPicPr/>
                      </pic:nvPicPr>
                      <pic:blipFill>
                        <a:blip r:embed="rId1"/>
                        <a:stretch>
                          <a:fillRect/>
                        </a:stretch>
                      </pic:blipFill>
                      <pic:spPr>
                        <a:xfrm>
                          <a:off x="0" y="0"/>
                          <a:ext cx="320040" cy="320040"/>
                        </a:xfrm>
                        <a:prstGeom prst="rect"/>
                      </pic:spPr>
                    </pic:pic>
                  </a:graphicData>
                </a:graphic>
              </wp:inline>
            </w:drawing>
          </w:r>
          <w:r>
            <w:rPr>
              <w:rFonts w:ascii="Calibri" w:hAnsi="Calibri"/>
              <w:b/>
              <w:color w:val="0A2540"/>
              <w:sz w:val="20"/>
            </w:rPr>
            <w:t xml:space="preserve">  TAFI</w:t>
          </w:r>
        </w:p>
      </w:tc>
    </w:tr>
  </w:tbl>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facebook.com/share/p/1C6g12FWeY/" TargetMode="External"/><Relationship Id="rId11" Type="http://schemas.openxmlformats.org/officeDocument/2006/relationships/hyperlink" Target="https://vu.china-embassy.gov.cn/eng/zwgx_0/sbwl/202601/t20260130_11847824.htm" TargetMode="External"/><Relationship Id="rId22" Type="http://schemas.openxmlformats.org/officeDocument/2006/relationships/hyperlink" Target="https://vu.china-embassy.gov.cn/eng/zwgx_0/sbwl/202601/t20260130_11847824.htm" TargetMode="External"/><Relationship Id="rId10" Type="http://schemas.openxmlformats.org/officeDocument/2006/relationships/hyperlink" Target="https://vu.china-embassy.gov.cn/eng/zwgx_0/sbwl/202601/t20260130_11847824.htm" TargetMode="External"/><Relationship Id="rId21" Type="http://schemas.openxmlformats.org/officeDocument/2006/relationships/hyperlink" Target="https://www.google.com/search?q=https://www.facebook.com/share/p/1C6g12FWeY/" TargetMode="External"/><Relationship Id="rId13" Type="http://schemas.openxmlformats.org/officeDocument/2006/relationships/hyperlink" Target="https://www.google.com/search?q=https://www.facebook.com/share/p/189C6WLGQS/" TargetMode="External"/><Relationship Id="rId12" Type="http://schemas.openxmlformats.org/officeDocument/2006/relationships/hyperlink" Target="https://www.google.com/search?q=https://www.facebook.com/share/p/189C6WLGQS/" TargetMode="External"/><Relationship Id="rId23" Type="http://schemas.openxmlformats.org/officeDocument/2006/relationships/hyperlink" Target="https://vu.china-embassy.gov.cn/eng/zwgx_0/sbwl/202601/t20260130_11847824.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r.china-embassy.gov.cn/dshd/202601/t20260129_11847078.htm" TargetMode="External"/><Relationship Id="rId15" Type="http://schemas.openxmlformats.org/officeDocument/2006/relationships/hyperlink" Target="https://www.google.com/search?q=https://www.facebook.com/share/p/1BcBh5sj9Q/" TargetMode="External"/><Relationship Id="rId14" Type="http://schemas.openxmlformats.org/officeDocument/2006/relationships/hyperlink" Target="https://www.google.com/search?q=https://www.facebook.com/share/p/1BcBh5sj9Q/" TargetMode="External"/><Relationship Id="rId17" Type="http://schemas.openxmlformats.org/officeDocument/2006/relationships/hyperlink" Target="https://www.google.com/search?q=https://www.facebook.com/share/p/1LAPUoib5U/" TargetMode="External"/><Relationship Id="rId16" Type="http://schemas.openxmlformats.org/officeDocument/2006/relationships/hyperlink" Target="https://www.google.com/search?q=https://www.facebook.com/share/p/1LAPUoib5U/" TargetMode="External"/><Relationship Id="rId5" Type="http://schemas.openxmlformats.org/officeDocument/2006/relationships/styles" Target="styles.xml"/><Relationship Id="rId19" Type="http://schemas.openxmlformats.org/officeDocument/2006/relationships/hyperlink" Target="https://www.google.com/search?q=https://www.facebook.com/share/p/1AZWMM8Vew/" TargetMode="External"/><Relationship Id="rId6" Type="http://schemas.openxmlformats.org/officeDocument/2006/relationships/hyperlink" Target="https://www.google.com/search?q=https://fijisun.com.fj/news/nation/china-gifts-red-flag-executive-sedan-to-office-of-the-president01/26/26" TargetMode="External"/><Relationship Id="rId18" Type="http://schemas.openxmlformats.org/officeDocument/2006/relationships/hyperlink" Target="https://www.google.com/search?q=https://www.facebook.com/share/p/1AZWMM8Vew/" TargetMode="External"/><Relationship Id="rId7" Type="http://schemas.openxmlformats.org/officeDocument/2006/relationships/hyperlink" Target="https://www.google.com/search?q=https://fijisun.com.fj/news/nation/china-gifts-red-flag-executive-sedan-to-office-of-the-president01/26/26" TargetMode="External"/><Relationship Id="rId8" Type="http://schemas.openxmlformats.org/officeDocument/2006/relationships/hyperlink" Target="https://nr.china-embassy.gov.cn/dshd/202601/t20260129_11847078.htm" TargetMode="External"/><Relationship Id="rId24" Type="http://schemas.openxmlformats.org/officeDocument/2006/relationships/header" Target="header1.xml"/><Relationship Id="rId2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