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51"/>
        <w:tblW w:w="13462" w:type="dxa"/>
        <w:jc w:val="center"/>
        <w:tblLayout w:type="fixed"/>
        <w:tblLook w:val="06A0" w:firstRow="1" w:lastRow="0" w:firstColumn="1" w:lastColumn="0" w:noHBand="1" w:noVBand="1"/>
      </w:tblPr>
      <w:tblGrid>
        <w:gridCol w:w="1505"/>
        <w:gridCol w:w="1892"/>
        <w:gridCol w:w="4062"/>
        <w:gridCol w:w="1183"/>
        <w:gridCol w:w="1559"/>
        <w:gridCol w:w="1134"/>
        <w:gridCol w:w="993"/>
        <w:gridCol w:w="1134"/>
      </w:tblGrid>
      <w:tr w:rsidR="00397740" w:rsidRPr="00397740" w:rsidTr="00397740">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ID</w:t>
            </w:r>
          </w:p>
        </w:tc>
        <w:tc>
          <w:tcPr>
            <w:tcW w:w="1892"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Nombre</w:t>
            </w:r>
          </w:p>
        </w:tc>
        <w:tc>
          <w:tcPr>
            <w:tcW w:w="4062"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Descripción</w:t>
            </w:r>
          </w:p>
        </w:tc>
        <w:tc>
          <w:tcPr>
            <w:tcW w:w="1183"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Cumplimiento</w:t>
            </w:r>
          </w:p>
        </w:tc>
        <w:tc>
          <w:tcPr>
            <w:tcW w:w="1559"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Notas</w:t>
            </w:r>
          </w:p>
        </w:tc>
        <w:tc>
          <w:tcPr>
            <w:tcW w:w="1134"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Estado</w:t>
            </w:r>
          </w:p>
        </w:tc>
        <w:tc>
          <w:tcPr>
            <w:tcW w:w="993"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Prioridad</w:t>
            </w:r>
          </w:p>
        </w:tc>
        <w:tc>
          <w:tcPr>
            <w:tcW w:w="1134" w:type="dxa"/>
            <w:vAlign w:val="center"/>
            <w:hideMark/>
          </w:tcPr>
          <w:p w:rsidR="00397740" w:rsidRPr="00397740" w:rsidRDefault="00397740" w:rsidP="00397740">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Método de verificación</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RF_STKSAAS_001</w:t>
            </w:r>
          </w:p>
        </w:tc>
        <w:tc>
          <w:tcPr>
            <w:tcW w:w="1892"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Iniciar Sesión</w:t>
            </w:r>
          </w:p>
        </w:tc>
        <w:tc>
          <w:tcPr>
            <w:tcW w:w="4062" w:type="dxa"/>
            <w:vAlign w:val="center"/>
            <w:hideMark/>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usuario ingresa al sistema ingresando su RUT y contraseña.</w:t>
            </w:r>
          </w:p>
        </w:tc>
        <w:tc>
          <w:tcPr>
            <w:tcW w:w="1183"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hideMark/>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RF_STKSAAS_002</w:t>
            </w:r>
          </w:p>
        </w:tc>
        <w:tc>
          <w:tcPr>
            <w:tcW w:w="1892"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Agregar asignatura</w:t>
            </w:r>
          </w:p>
        </w:tc>
        <w:tc>
          <w:tcPr>
            <w:tcW w:w="4062" w:type="dxa"/>
            <w:vAlign w:val="center"/>
            <w:hideMark/>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agregar asignaturas que implementen el programa Aprendizaje Servicio cada semestre.</w:t>
            </w:r>
          </w:p>
        </w:tc>
        <w:tc>
          <w:tcPr>
            <w:tcW w:w="1183"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hideMark/>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RF_STKSAAS_003</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Listar asignaturas</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El sistema deberá otorgar al coordinador general la opción de visualizar una lista de las asignaturas correspondientes a cada semestre del programa Aprendizaje Servicio. </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RF_STKSAAS_004</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Ver información asignatura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la opción de ver el nombre, semestre, carrera, cantidad de alumnos y cantidad de grupos de trabajo de una asignatura que implemente el programa Aprendizaje Servicio.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RF_STKSAAS_005</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Eliminar asignatura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El sistema permitirá al coordinador general eliminar una asignatura si no tiene asignado ningún socio comunitario. </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RF_STKSAAS_006</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Modificar asignatura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modificar los datos de una asignatura.</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RF_STKSAAS_007</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Agregar Socio Comunitario Institucional</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de socios comunitarios agregar Socios Comunitarios Institucionales.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RF_STKSAAS_008</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Eliminar Socio Comunitario Institucional</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de socios comunitarios eliminar un Socio Comunitario Institucional que no cuente con Socios Comunitarios Beneficiarios.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RF_STKSAAS_009</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Listar Socios Comunitarios Institucionales</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al coordinador general una opción en la cual se visualice una lista de los Socios Comunitarios Institucionales de un semestre seleccionado.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RF_STKSAAS_010</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Ver información Socio Comunitario Institucional</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al coordinador general la opción de ver el nombre, descripción y cantidad de Socios Comunitarios Beneficiarios de un Socio Comunitario Institucional.</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RF_STKSAAS_011</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Modificar Socio Comunitario Institucional</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de socios comunitarios modificar los datos de un Socio Comunitario Institucional.</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lastRenderedPageBreak/>
              <w:t>RF_STKSAAS_012</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Agregar Socio Comunitario Beneficiario </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El sistema permitirá al coordinador de socios comunitarios agregar un Socio Comunitario Beneficiario. </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RF_STKSAAS_013</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Asociar Socio Comunitario Beneficiario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asociar el o los Socios Beneficiarios a un Socio Beneficiario Institucional.</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RF_STKSAAS_014</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Listar Socios Comunitarios Beneficiarios de un Socio Comunitario Institucional</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al coordinador general una opción en la cual se visualice una lista con los Socios Comunitarios Beneficiarios de un Socio Comunitario Institucional de un semestre seleccionado.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RF_STKSAAS_015</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Registrar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registrar un grupo de trabajo con un número determinado de alumnos de una asignatura.</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RF_STKSAAS_016</w:t>
            </w:r>
          </w:p>
        </w:tc>
        <w:tc>
          <w:tcPr>
            <w:tcW w:w="1892" w:type="dxa"/>
            <w:vAlign w:val="center"/>
          </w:tcPr>
          <w:p w:rsidR="00397740" w:rsidRPr="00397740" w:rsidRDefault="00397740" w:rsidP="00397740">
            <w:p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Ver información Socio Comunitario Beneficiario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El sistema deberá otorgar al coordinador general una opción en la cual se visualice el nombre, la descripción, el grupo de trabajo y el proyecto realizado o por realizar. </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RF_STKSAAS_017</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Asignar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asignar un grupo de trabajo a un Socio Comunitario Beneficiario.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RF_STKSAAS_018</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Eliminar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eliminar un grupo de trabajo de una asignatura, si no tiene un Socio Comunitario Beneficiario asignado.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RF_STKSAAS_019</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Actualizar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modificar agregar o eliminar integrantes del grupo de trabajo.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RF_STKSAAS_020</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Completar bitácora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 los alumnos de un grupo de trabajo completar la bitácora de reunión con el Socio Comunitario Beneficiario.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RF_STKSAAS_021</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Modificar bitácora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 los alumnos de un grupo de trabajo modificar la bitácora de reunión con el Socio Comunitario Beneficiario.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RF_STKSAAS_022</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Ver bitácora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 los alumnos y al coordinador general una opción que visualice la bitácora que completaron.</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Baja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RF_STKSAAS_023</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Lista de bitácoras</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al coordinador general y a los alumnos (del grupo) visualizar una lista ordenadas por fecha de las bitácoras completadas.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lastRenderedPageBreak/>
              <w:t>RF_STKSAAS_024</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Registrar proyecto del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registrar el proyecto asignado de un grupo de trabajo.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RF_STKSAAS_025</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Modificar proyecto del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modificar los datos del proyecto asignado a un grupo de trabajo.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Alta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RF_STKSAAS_026</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Eliminar proyecto del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permitirá al coordinador general eliminar un proyecto asignado a un grupo de trabajo.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RF_STKSAAS_027</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Ver información del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otorgar al coordinador general la opción de visualizar los integrantes, el Socio Beneficiario Comunitario asignado y el proyecto realizado o a realizar de un grupo de trabajo.</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RF_STKSAAS_028</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Enviar correo electrónico informativo al Socio Comunitario Beneficiario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Una vez que se le asigne un grupo de trabajo al Socio Beneficiario Comunitario, el sistema deberá enviar un correo informativo al Socio Comunitario Beneficiario con los integrantes del grupo y el contacto con el líder. Si el grupo de trabajo es actualizado, se debe volver a enviar el correo con los datos actualizados.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RF_STKSAAS_029</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Enviar correo electrónico informativo al grupo de trabajo</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Una vez que se le asigne un grupo de trabajo al Socio Beneficiario Comunitario, el sistema deberá enviar un correo informativo a los alumnos del grupo de trabajo, con los integrantes de su grupo y el contacto con el Socio Comunitario Beneficiario. Si la información del grupo de trabajo o Socio Comunitario Beneficiario sufre algún cambio, se debe volver a enviar el correo con los datos actualizados.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267"/>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RF_STKSAAS_030</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Enviar un reporte vía correo electrónico al profesor de la asignatura</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Una vez todos los grupos de trabajo de una asignatura tienen asignado un Socio Beneficiario, el sistema deberá enviar un correo electrónico informativo al profesor de la asignatura, con la configuración inicial de los grupos y sus respectivos socios. Si el grupo de trabajo, o el socio sufren alguna modificación se debe volver a enviar el correo con los datos actualizados.</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hAnsi="Cambria" w:cs="Arial"/>
                <w:sz w:val="14"/>
                <w:szCs w:val="14"/>
                <w:lang w:eastAsia="es-CL"/>
              </w:rPr>
            </w:pPr>
            <w:r w:rsidRPr="00397740">
              <w:rPr>
                <w:rFonts w:ascii="Cambria" w:hAnsi="Cambria" w:cs="Arial"/>
                <w:sz w:val="14"/>
                <w:szCs w:val="14"/>
                <w:lang w:eastAsia="es-CL"/>
              </w:rPr>
              <w:t>RF_STKSAAS_031</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Visualizar reporte con la cantidad de Socios Comunitarios Beneficiarios por asignatura, sede y semestre</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El sistema permitirá al coordinador general visualizar un reporte con las estadísticas de los Socios Comunitarios por asignatura, sede y semestre. </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r w:rsidRPr="00397740">
              <w:rPr>
                <w:rFonts w:ascii="Cambria" w:hAnsi="Cambria" w:cs="Arial"/>
                <w:sz w:val="14"/>
                <w:szCs w:val="14"/>
                <w:lang w:eastAsia="es-CL"/>
              </w:rPr>
              <w:t>RF_STKSAAS_032</w:t>
            </w: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 xml:space="preserve">Importar Socios Comunitarios Beneficiarios </w:t>
            </w: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El sistema deberá permitir al coordinador de socios comunitarios importar Socios Comunitarios Beneficiarios desde una planilla de Excel.</w:t>
            </w: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No cumple</w:t>
            </w: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u w:val="single"/>
                <w:lang w:eastAsia="es-CL"/>
              </w:rPr>
            </w:pPr>
            <w:r w:rsidRPr="00397740">
              <w:rPr>
                <w:rFonts w:ascii="Cambria" w:hAnsi="Cambria" w:cs="Arial"/>
                <w:sz w:val="14"/>
                <w:szCs w:val="14"/>
                <w:lang w:eastAsia="es-CL"/>
              </w:rPr>
              <w:t>No implementado</w:t>
            </w: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Media</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r w:rsidRPr="00397740">
              <w:rPr>
                <w:rFonts w:ascii="Cambria" w:eastAsia="Calibri" w:hAnsi="Cambria" w:cs="Arial"/>
                <w:sz w:val="14"/>
                <w:szCs w:val="14"/>
              </w:rPr>
              <w:t>P</w:t>
            </w: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r w:rsidRPr="00397740">
              <w:rPr>
                <w:rFonts w:ascii="Cambria" w:hAnsi="Cambria" w:cs="Arial"/>
                <w:sz w:val="14"/>
                <w:szCs w:val="14"/>
                <w:lang w:eastAsia="es-CL"/>
              </w:rPr>
              <w:t>Sin notas</w:t>
            </w: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p>
        </w:tc>
      </w:tr>
      <w:tr w:rsidR="00397740" w:rsidRPr="00397740" w:rsidTr="00123B18">
        <w:trPr>
          <w:trHeight w:val="170"/>
          <w:jc w:val="center"/>
        </w:trPr>
        <w:tc>
          <w:tcPr>
            <w:cnfStyle w:val="001000000000" w:firstRow="0" w:lastRow="0" w:firstColumn="1" w:lastColumn="0" w:oddVBand="0" w:evenVBand="0" w:oddHBand="0" w:evenHBand="0" w:firstRowFirstColumn="0" w:firstRowLastColumn="0" w:lastRowFirstColumn="0" w:lastRowLastColumn="0"/>
            <w:tcW w:w="1505" w:type="dxa"/>
            <w:vAlign w:val="center"/>
          </w:tcPr>
          <w:p w:rsidR="00397740" w:rsidRPr="00397740" w:rsidRDefault="00397740" w:rsidP="00397740">
            <w:pPr>
              <w:spacing w:after="200" w:line="276" w:lineRule="auto"/>
              <w:jc w:val="center"/>
              <w:rPr>
                <w:rFonts w:ascii="Cambria" w:eastAsia="Calibri" w:hAnsi="Cambria" w:cs="Arial"/>
                <w:sz w:val="14"/>
                <w:szCs w:val="14"/>
              </w:rPr>
            </w:pPr>
          </w:p>
        </w:tc>
        <w:tc>
          <w:tcPr>
            <w:tcW w:w="1892"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4062" w:type="dxa"/>
            <w:vAlign w:val="center"/>
          </w:tcPr>
          <w:p w:rsidR="00397740" w:rsidRPr="00397740" w:rsidRDefault="00397740" w:rsidP="00397740">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8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559"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993"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hAnsi="Cambria" w:cs="Arial"/>
                <w:sz w:val="14"/>
                <w:szCs w:val="14"/>
                <w:lang w:eastAsia="es-CL"/>
              </w:rPr>
            </w:pPr>
          </w:p>
        </w:tc>
        <w:tc>
          <w:tcPr>
            <w:tcW w:w="1134" w:type="dxa"/>
            <w:vAlign w:val="center"/>
          </w:tcPr>
          <w:p w:rsidR="00397740" w:rsidRPr="00397740" w:rsidRDefault="00397740" w:rsidP="00397740">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Cambria" w:eastAsia="Calibri" w:hAnsi="Cambria" w:cs="Arial"/>
                <w:sz w:val="14"/>
                <w:szCs w:val="14"/>
              </w:rPr>
            </w:pPr>
          </w:p>
        </w:tc>
      </w:tr>
    </w:tbl>
    <w:p w:rsidR="001108FE" w:rsidRDefault="00397740">
      <w:bookmarkStart w:id="0" w:name="_GoBack"/>
      <w:bookmarkEnd w:id="0"/>
    </w:p>
    <w:sectPr w:rsidR="001108FE" w:rsidSect="00397740">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740"/>
    <w:rsid w:val="00397740"/>
    <w:rsid w:val="00632712"/>
    <w:rsid w:val="00CA2768"/>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3DDF"/>
  <w15:chartTrackingRefBased/>
  <w15:docId w15:val="{F522CD4A-AF63-4EEC-B2CE-1A863416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cuadrcula4-nfasis51">
    <w:name w:val="Tabla de cuadrícula 4 - Énfasis 51"/>
    <w:basedOn w:val="Tablanormal"/>
    <w:uiPriority w:val="49"/>
    <w:rsid w:val="00397740"/>
    <w:pPr>
      <w:spacing w:after="0" w:line="240" w:lineRule="auto"/>
    </w:pPr>
    <w:rPr>
      <w:rFonts w:eastAsia="Times New Roman"/>
      <w:lang w:val="es-CL"/>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588754">
      <w:bodyDiv w:val="1"/>
      <w:marLeft w:val="0"/>
      <w:marRight w:val="0"/>
      <w:marTop w:val="0"/>
      <w:marBottom w:val="0"/>
      <w:divBdr>
        <w:top w:val="none" w:sz="0" w:space="0" w:color="auto"/>
        <w:left w:val="none" w:sz="0" w:space="0" w:color="auto"/>
        <w:bottom w:val="none" w:sz="0" w:space="0" w:color="auto"/>
        <w:right w:val="none" w:sz="0" w:space="0" w:color="auto"/>
      </w:divBdr>
      <w:divsChild>
        <w:div w:id="1254628679">
          <w:marLeft w:val="0"/>
          <w:marRight w:val="0"/>
          <w:marTop w:val="0"/>
          <w:marBottom w:val="0"/>
          <w:divBdr>
            <w:top w:val="none" w:sz="0" w:space="0" w:color="auto"/>
            <w:left w:val="none" w:sz="0" w:space="0" w:color="auto"/>
            <w:bottom w:val="none" w:sz="0" w:space="0" w:color="auto"/>
            <w:right w:val="none" w:sz="0" w:space="0" w:color="auto"/>
          </w:divBdr>
        </w:div>
      </w:divsChild>
    </w:div>
    <w:div w:id="1737048992">
      <w:bodyDiv w:val="1"/>
      <w:marLeft w:val="0"/>
      <w:marRight w:val="0"/>
      <w:marTop w:val="0"/>
      <w:marBottom w:val="0"/>
      <w:divBdr>
        <w:top w:val="none" w:sz="0" w:space="0" w:color="auto"/>
        <w:left w:val="none" w:sz="0" w:space="0" w:color="auto"/>
        <w:bottom w:val="none" w:sz="0" w:space="0" w:color="auto"/>
        <w:right w:val="none" w:sz="0" w:space="0" w:color="auto"/>
      </w:divBdr>
      <w:divsChild>
        <w:div w:id="1123646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259EA-3C5D-4258-9D69-DAB648563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1266</Words>
  <Characters>6966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Gallegos</dc:creator>
  <cp:keywords/>
  <dc:description/>
  <cp:lastModifiedBy>Hans Gallegos</cp:lastModifiedBy>
  <cp:revision>1</cp:revision>
  <dcterms:created xsi:type="dcterms:W3CDTF">2017-04-06T22:14:00Z</dcterms:created>
  <dcterms:modified xsi:type="dcterms:W3CDTF">2017-04-06T22:21:00Z</dcterms:modified>
</cp:coreProperties>
</file>