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>
      <w:pPr>
        <w:spacing w:after="1100"/>
      </w:pPr>
    </w:p>
    <w:p>
      <w:pPr>
        <w:pStyle w:val="Title"/>
        <w:jc w:val="left"/>
      </w:pPr>
      <w:r>
        <w:t>Assistant intelligent de recommandation</w:t>
        <w:br/>
        <w:t>d'événements culturels</w:t>
      </w:r>
    </w:p>
    <w:p>
      <w:pPr>
        <w:spacing w:before="200"/>
      </w:pPr>
      <w:r>
        <w:rPr>
          <w:rFonts w:ascii="Aptos Display" w:hAnsi="Aptos Display"/>
          <w:b/>
          <w:color w:val="147D80"/>
          <w:sz w:val="34"/>
        </w:rPr>
        <w:t>Rapport technique du POC RAG pour Puls-Events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2880"/>
            <w:vAlign w:val="center"/>
            <w:shd w:fill="E7F2F1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jc w:val="center"/>
            </w:pPr>
            <w:r>
              <w:rPr>
                <w:b/>
                <w:color w:val="147D80"/>
                <w:sz w:val="18"/>
              </w:rPr>
              <w:t>CORPUS</w:t>
              <w:br/>
            </w:r>
            <w:r>
              <w:rPr>
                <w:b/>
                <w:color w:val="18324A"/>
                <w:sz w:val="28"/>
              </w:rPr>
              <w:t>7 586 événements</w:t>
            </w:r>
          </w:p>
        </w:tc>
        <w:tc>
          <w:tcPr>
            <w:tcW w:type="dxa" w:w="2880"/>
            <w:vAlign w:val="center"/>
            <w:shd w:fill="E7F2F1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jc w:val="center"/>
            </w:pPr>
            <w:r>
              <w:rPr>
                <w:b/>
                <w:color w:val="147D80"/>
                <w:sz w:val="18"/>
              </w:rPr>
              <w:t>INDEX</w:t>
              <w:br/>
            </w:r>
            <w:r>
              <w:rPr>
                <w:b/>
                <w:color w:val="18324A"/>
                <w:sz w:val="28"/>
              </w:rPr>
              <w:t>14 903 chunks</w:t>
            </w:r>
          </w:p>
        </w:tc>
        <w:tc>
          <w:tcPr>
            <w:tcW w:type="dxa" w:w="2880"/>
            <w:vAlign w:val="center"/>
            <w:shd w:fill="E7F2F1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jc w:val="center"/>
            </w:pPr>
            <w:r>
              <w:rPr>
                <w:b/>
                <w:color w:val="147D80"/>
                <w:sz w:val="18"/>
              </w:rPr>
              <w:t>ZONE</w:t>
              <w:br/>
            </w:r>
            <w:r>
              <w:rPr>
                <w:b/>
                <w:color w:val="18324A"/>
                <w:sz w:val="28"/>
              </w:rPr>
              <w:t>Paris</w:t>
            </w:r>
          </w:p>
        </w:tc>
      </w:tr>
    </w:tbl>
    <w:p/>
    <w:p>
      <w:pPr>
        <w:spacing w:before="500"/>
      </w:pPr>
      <w:r>
        <w:rPr>
          <w:b/>
        </w:rPr>
        <w:t xml:space="preserve">Technologies : </w:t>
      </w:r>
      <w:r>
        <w:t>Python 3.12, LangChain, Mistral, FAISS, FastAPI, Docker, RAGAS</w:t>
      </w:r>
      <w:r>
        <w:rPr>
          <w:b/>
        </w:rPr>
        <w:br/>
        <w:t xml:space="preserve">Corpus : </w:t>
      </w:r>
      <w:r>
        <w:t>Paris, du 2025-07-10 au 2026-07-10, source OpenAgenda/Opendatasoft</w:t>
      </w:r>
      <w:r>
        <w:rPr>
          <w:b/>
        </w:rPr>
        <w:br/>
        <w:t xml:space="preserve">Date du rapport : </w:t>
      </w:r>
      <w:r>
        <w:t>23/07/2026</w:t>
      </w:r>
    </w:p>
    <w:p>
      <w:pPr>
        <w:spacing w:before="900"/>
      </w:pPr>
      <w:r>
        <w:rPr>
          <w:i/>
        </w:rPr>
        <w:t>Ce document complète le modèle de rapport fourni et décrit uniquement les composants et résultats vérifiés dans le dépôt.</w:t>
      </w:r>
    </w:p>
    <w:p>
      <w:r>
        <w:br w:type="page"/>
      </w:r>
    </w:p>
    <w:p>
      <w:pPr>
        <w:pStyle w:val="Heading1"/>
      </w:pPr>
      <w:r>
        <w:t>1. Objectifs du projet</w:t>
      </w:r>
    </w:p>
    <w:p>
      <w:r>
        <w:t>Puls-Events souhaite tester un assistant culturel capable de répondre à des demandes naturelles en s'appuyant sur des événements réels. Le POC démontre la faisabilité technique, la traçabilité des recommandations et l'exposition du service aux équipes produit et marketing.</w:t>
      </w:r>
    </w:p>
    <w:p>
      <w:pPr>
        <w:ind w:left="255" w:hanging="142"/>
      </w:pPr>
      <w:r>
        <w:rPr>
          <w:b/>
          <w:color w:val="E77C3C"/>
        </w:rPr>
        <w:t xml:space="preserve">• </w:t>
      </w:r>
      <w:r>
        <w:t>Besoin : recommandations pertinentes, formulées naturellement et vérifiables.</w:t>
      </w:r>
    </w:p>
    <w:p>
      <w:pPr>
        <w:ind w:left="255" w:hanging="142"/>
      </w:pPr>
      <w:r>
        <w:rPr>
          <w:b/>
          <w:color w:val="E77C3C"/>
        </w:rPr>
        <w:t xml:space="preserve">• </w:t>
      </w:r>
      <w:r>
        <w:t>Réponse : recherche sémantique dans FAISS, puis génération augmentée par Mistral.</w:t>
      </w:r>
    </w:p>
    <w:p>
      <w:pPr>
        <w:ind w:left="255" w:hanging="142"/>
      </w:pPr>
      <w:r>
        <w:rPr>
          <w:b/>
          <w:color w:val="E77C3C"/>
        </w:rPr>
        <w:t xml:space="preserve">• </w:t>
      </w:r>
      <w:r>
        <w:t>Périmètre livré : Paris, du 10 juillet 2025 au 10 juillet 2026.</w:t>
      </w:r>
    </w:p>
    <w:p>
      <w:pPr>
        <w:ind w:left="255" w:hanging="142"/>
      </w:pPr>
      <w:r>
        <w:rPr>
          <w:b/>
          <w:color w:val="E77C3C"/>
        </w:rPr>
        <w:t xml:space="preserve">• </w:t>
      </w:r>
      <w:r>
        <w:t>Volume : 7586 événements normalisés et 14903 chunks.</w:t>
      </w:r>
    </w:p>
    <w:p>
      <w:r>
        <w:br w:type="page"/>
      </w:r>
    </w:p>
    <w:p>
      <w:pPr>
        <w:pStyle w:val="Heading1"/>
      </w:pPr>
      <w:r>
        <w:t>2. Architecture du système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shd w:fill="E7F2F1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E77C3C"/>
                <w:sz w:val="30"/>
              </w:rPr>
              <w:t>1</w:t>
              <w:br/>
            </w:r>
            <w:r>
              <w:rPr>
                <w:b/>
                <w:color w:val="18324A"/>
                <w:sz w:val="18"/>
              </w:rPr>
              <w:t>Collecte</w:t>
              <w:br/>
            </w:r>
            <w:r>
              <w:rPr>
                <w:sz w:val="15"/>
              </w:rPr>
              <w:t>Opendatasoft v2.1</w:t>
            </w:r>
          </w:p>
        </w:tc>
        <w:tc>
          <w:tcPr>
            <w:tcW w:type="dxa" w:w="1973"/>
            <w:shd w:fill="FBEAD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E77C3C"/>
                <w:sz w:val="30"/>
              </w:rPr>
              <w:t>2</w:t>
              <w:br/>
            </w:r>
            <w:r>
              <w:rPr>
                <w:b/>
                <w:color w:val="18324A"/>
                <w:sz w:val="18"/>
              </w:rPr>
              <w:t>Préparation</w:t>
              <w:br/>
            </w:r>
            <w:r>
              <w:rPr>
                <w:sz w:val="15"/>
              </w:rPr>
              <w:t>Pandas + Parquet</w:t>
            </w:r>
          </w:p>
        </w:tc>
        <w:tc>
          <w:tcPr>
            <w:tcW w:type="dxa" w:w="1973"/>
            <w:shd w:fill="E7F2F1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E77C3C"/>
                <w:sz w:val="30"/>
              </w:rPr>
              <w:t>3</w:t>
              <w:br/>
            </w:r>
            <w:r>
              <w:rPr>
                <w:b/>
                <w:color w:val="18324A"/>
                <w:sz w:val="18"/>
              </w:rPr>
              <w:t>Indexation</w:t>
              <w:br/>
            </w:r>
            <w:r>
              <w:rPr>
                <w:sz w:val="15"/>
              </w:rPr>
              <w:t>Mistral + FAISS</w:t>
            </w:r>
          </w:p>
        </w:tc>
        <w:tc>
          <w:tcPr>
            <w:tcW w:type="dxa" w:w="1973"/>
            <w:shd w:fill="FBEAD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E77C3C"/>
                <w:sz w:val="30"/>
              </w:rPr>
              <w:t>4</w:t>
              <w:br/>
            </w:r>
            <w:r>
              <w:rPr>
                <w:b/>
                <w:color w:val="18324A"/>
                <w:sz w:val="18"/>
              </w:rPr>
              <w:t>RAG</w:t>
              <w:br/>
            </w:r>
            <w:r>
              <w:rPr>
                <w:sz w:val="15"/>
              </w:rPr>
              <w:t>LangChain + Mistral</w:t>
            </w:r>
          </w:p>
        </w:tc>
        <w:tc>
          <w:tcPr>
            <w:tcW w:type="dxa" w:w="1973"/>
            <w:shd w:fill="E7F2F1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E77C3C"/>
                <w:sz w:val="30"/>
              </w:rPr>
              <w:t>5</w:t>
              <w:br/>
            </w:r>
            <w:r>
              <w:rPr>
                <w:b/>
                <w:color w:val="18324A"/>
                <w:sz w:val="18"/>
              </w:rPr>
              <w:t>Exposition</w:t>
              <w:br/>
            </w:r>
            <w:r>
              <w:rPr>
                <w:sz w:val="15"/>
              </w:rPr>
              <w:t>FastAPI + Docker</w:t>
            </w:r>
          </w:p>
        </w:tc>
      </w:tr>
    </w:tbl>
    <w:p>
      <w:pPr>
        <w:pStyle w:val="Heading2"/>
      </w:pPr>
      <w:r>
        <w:t>Séparation des responsabilités</w:t>
      </w:r>
    </w:p>
    <w:p>
      <w:r>
        <w:t>Les scripts publics orchestrent des modules dédiés à l'ingestion, l'indexation, la génération RAG, l'API et l'évaluation. Le service `OpenAgendaRAGService` conserve le retriever et le modèle en mémoire.</w:t>
      </w:r>
    </w:p>
    <w:p>
      <w:pPr>
        <w:ind w:left="255" w:hanging="142"/>
      </w:pPr>
      <w:r>
        <w:rPr>
          <w:b/>
          <w:color w:val="E77C3C"/>
        </w:rPr>
        <w:t xml:space="preserve">• </w:t>
      </w:r>
      <w:r>
        <w:t>Entrée : API Opendatasoft v2.1, dataset evenements-publics-openagenda.</w:t>
      </w:r>
    </w:p>
    <w:p>
      <w:pPr>
        <w:ind w:left="255" w:hanging="142"/>
      </w:pPr>
      <w:r>
        <w:rPr>
          <w:b/>
          <w:color w:val="E77C3C"/>
        </w:rPr>
        <w:t xml:space="preserve">• </w:t>
      </w:r>
      <w:r>
        <w:t>Stockage intermédiaire : JSON brut, Parquet normalisé et manifestes.</w:t>
      </w:r>
    </w:p>
    <w:p>
      <w:pPr>
        <w:ind w:left="255" w:hanging="142"/>
      </w:pPr>
      <w:r>
        <w:rPr>
          <w:b/>
          <w:color w:val="E77C3C"/>
        </w:rPr>
        <w:t xml:space="preserve">• </w:t>
      </w:r>
      <w:r>
        <w:t>Recherche : embeddings mistral-embed et index local FAISS persistant.</w:t>
      </w:r>
    </w:p>
    <w:p>
      <w:pPr>
        <w:ind w:left="255" w:hanging="142"/>
      </w:pPr>
      <w:r>
        <w:rPr>
          <w:b/>
          <w:color w:val="E77C3C"/>
        </w:rPr>
        <w:t xml:space="preserve">• </w:t>
      </w:r>
      <w:r>
        <w:t>Génération : mistral-small-latest orchestré par LangChain.</w:t>
      </w:r>
    </w:p>
    <w:p>
      <w:pPr>
        <w:ind w:left="255" w:hanging="142"/>
      </w:pPr>
      <w:r>
        <w:rPr>
          <w:b/>
          <w:color w:val="E77C3C"/>
        </w:rPr>
        <w:t xml:space="preserve">• </w:t>
      </w:r>
      <w:r>
        <w:t>Livraison : API FastAPI, documentation Swagger et conteneur Docker.</w:t>
      </w:r>
    </w:p>
    <w:p>
      <w:r>
        <w:br w:type="page"/>
      </w:r>
    </w:p>
    <w:p>
      <w:pPr>
        <w:pStyle w:val="Heading1"/>
      </w:pPr>
      <w:r>
        <w:t>3. Préparation et vectorisation des données</w:t>
      </w:r>
    </w:p>
    <w:p>
      <w:pPr>
        <w:pStyle w:val="Heading2"/>
      </w:pPr>
      <w:r>
        <w:t>Collecte et filtres</w:t>
      </w:r>
    </w:p>
    <w:p>
      <w:pPr>
        <w:ind w:left="255" w:hanging="142"/>
      </w:pPr>
      <w:r>
        <w:rPr>
          <w:b/>
          <w:color w:val="E77C3C"/>
        </w:rPr>
        <w:t xml:space="preserve">• </w:t>
      </w:r>
      <w:r>
        <w:t>Ville : Paris.</w:t>
      </w:r>
    </w:p>
    <w:p>
      <w:pPr>
        <w:ind w:left="255" w:hanging="142"/>
      </w:pPr>
      <w:r>
        <w:rPr>
          <w:b/>
          <w:color w:val="E77C3C"/>
        </w:rPr>
        <w:t xml:space="preserve">• </w:t>
      </w:r>
      <w:r>
        <w:t>Fenêtre : 2025-07-10 à 2026-07-10.</w:t>
      </w:r>
    </w:p>
    <w:p>
      <w:pPr>
        <w:ind w:left="255" w:hanging="142"/>
      </w:pPr>
      <w:r>
        <w:rPr>
          <w:b/>
          <w:color w:val="E77C3C"/>
        </w:rPr>
        <w:t xml:space="preserve">• </w:t>
      </w:r>
      <w:r>
        <w:t>Pagination complète, déduplication par identifiant et gestion des champs absents.</w:t>
      </w:r>
    </w:p>
    <w:p>
      <w:pPr>
        <w:ind w:left="255" w:hanging="142"/>
      </w:pPr>
      <w:r>
        <w:rPr>
          <w:b/>
          <w:color w:val="E77C3C"/>
        </w:rPr>
        <w:t xml:space="preserve">• </w:t>
      </w:r>
      <w:r>
        <w:t>Schéma stable incluant texte, ville, lieu, coordonnées, dates, URL et catégories.</w:t>
      </w:r>
    </w:p>
    <w:p>
      <w:pPr>
        <w:pStyle w:val="Heading2"/>
      </w:pPr>
      <w:r>
        <w:t>Chunking et embeddings</w:t>
      </w:r>
    </w:p>
    <w:p>
      <w:r>
        <w:t>Chaque `text_for_embedding` est découpé en chunks de 1000 caractères avec 200 caractères de chevauchement. Les vecteurs sont produits par `mistral-embed` par lots de 50.</w:t>
      </w:r>
    </w:p>
    <w:p>
      <w:pPr>
        <w:spacing w:before="80" w:after="140"/>
        <w:ind w:left="227" w:right="227"/>
        <w:shd w:fill="F7F2E8"/>
      </w:pPr>
      <w:r>
        <w:rPr>
          <w:rFonts w:ascii="Liberation Mono" w:hAnsi="Liberation Mono"/>
          <w:color w:val="18324A"/>
          <w:sz w:val="17"/>
        </w:rPr>
        <w:t>python scripts/fetch_events.py --city Paris --start-date 2025-07-10 --end-date 2026-07-10</w:t>
        <w:br/>
        <w:t>python scripts/build_index.py --rebuild</w:t>
      </w:r>
    </w:p>
    <w:p>
      <w:r>
        <w:br w:type="page"/>
      </w:r>
    </w:p>
    <w:p>
      <w:pPr>
        <w:pStyle w:val="Heading1"/>
      </w:pPr>
      <w:r>
        <w:t>4. Choix du modèle NLP</w:t>
      </w:r>
    </w:p>
    <w:p>
      <w:pPr>
        <w:ind w:left="255" w:hanging="142"/>
      </w:pPr>
      <w:r>
        <w:rPr>
          <w:b/>
          <w:color w:val="E77C3C"/>
        </w:rPr>
        <w:t xml:space="preserve">• </w:t>
      </w:r>
      <w:r>
        <w:t>Embeddings : mistral-embed, adapté à la similarité sémantique et intégré à LangChain.</w:t>
      </w:r>
    </w:p>
    <w:p>
      <w:pPr>
        <w:ind w:left="255" w:hanging="142"/>
      </w:pPr>
      <w:r>
        <w:rPr>
          <w:b/>
          <w:color w:val="E77C3C"/>
        </w:rPr>
        <w:t xml:space="preserve">• </w:t>
      </w:r>
      <w:r>
        <w:t>Génération : mistral-small-latest, compromis coût, latence et qualité pour le POC.</w:t>
      </w:r>
    </w:p>
    <w:p>
      <w:pPr>
        <w:ind w:left="255" w:hanging="142"/>
      </w:pPr>
      <w:r>
        <w:rPr>
          <w:b/>
          <w:color w:val="E77C3C"/>
        </w:rPr>
        <w:t xml:space="preserve">• </w:t>
      </w:r>
      <w:r>
        <w:t>Prompt : réponse en français, fondée uniquement sur le contexte, avec refus explicite si l'information manque.</w:t>
      </w:r>
    </w:p>
    <w:p>
      <w:pPr>
        <w:ind w:left="255" w:hanging="142"/>
      </w:pPr>
      <w:r>
        <w:rPr>
          <w:b/>
          <w:color w:val="E77C3C"/>
        </w:rPr>
        <w:t xml:space="preserve">• </w:t>
      </w:r>
      <w:r>
        <w:t>Température basse et graine fixe pour stabiliser les démonstrations.</w:t>
      </w:r>
    </w:p>
    <w:p>
      <w:pPr>
        <w:pStyle w:val="Heading2"/>
      </w:pPr>
      <w:r>
        <w:t>Limites</w:t>
      </w:r>
    </w:p>
    <w:p>
      <w:r>
        <w:t>La génération et l'évaluation dépendent de l'API Mistral. Le compte gratuit impose une exécution RAGAS séquentielle avec reprise automatique après une erreur temporaire. Les sorties restent non déterministes au mot près.</w:t>
      </w:r>
    </w:p>
    <w:p>
      <w:pPr>
        <w:pStyle w:val="Heading1"/>
      </w:pPr>
      <w:r>
        <w:t>5. Construction de la base vectorielle</w:t>
      </w:r>
    </w:p>
    <w:p>
      <w:r>
        <w:t>FAISS est retenu pour sa rapidité, sa portabilité et sa persistance locale. L'index officiel est sauvegardé dans `data/index/faiss/` et accompagné d'un manifeste et d'un parquet d'inspection.</w:t>
      </w:r>
    </w:p>
    <w:p>
      <w:pPr>
        <w:ind w:left="255" w:hanging="142"/>
      </w:pPr>
      <w:r>
        <w:rPr>
          <w:b/>
          <w:color w:val="E77C3C"/>
        </w:rPr>
        <w:t xml:space="preserve">• </w:t>
      </w:r>
      <w:r>
        <w:t>7586 événements indexés.</w:t>
      </w:r>
    </w:p>
    <w:p>
      <w:pPr>
        <w:ind w:left="255" w:hanging="142"/>
      </w:pPr>
      <w:r>
        <w:rPr>
          <w:b/>
          <w:color w:val="E77C3C"/>
        </w:rPr>
        <w:t xml:space="preserve">• </w:t>
      </w:r>
      <w:r>
        <w:t>14903 documents vectoriels.</w:t>
      </w:r>
    </w:p>
    <w:p>
      <w:pPr>
        <w:ind w:left="255" w:hanging="142"/>
      </w:pPr>
      <w:r>
        <w:rPr>
          <w:b/>
          <w:color w:val="E77C3C"/>
        </w:rPr>
        <w:t xml:space="preserve">• </w:t>
      </w:r>
      <w:r>
        <w:t>Métadonnées : identifiants, titre, ville, lieu, dates, fuseau, URL, catégories et date source.</w:t>
      </w:r>
    </w:p>
    <w:p>
      <w:pPr>
        <w:ind w:left="255" w:hanging="142"/>
      </w:pPr>
      <w:r>
        <w:rPr>
          <w:b/>
          <w:color w:val="E77C3C"/>
        </w:rPr>
        <w:t xml:space="preserve">• </w:t>
      </w:r>
      <w:r>
        <w:t>Recherche top-k par similarité ; rechargement local testé après sauvegarde.</w:t>
      </w:r>
    </w:p>
    <w:p>
      <w:r>
        <w:br w:type="page"/>
      </w:r>
    </w:p>
    <w:p>
      <w:pPr>
        <w:pStyle w:val="Heading1"/>
      </w:pPr>
      <w:r>
        <w:t>6. API et endpoints exposés</w:t>
      </w:r>
    </w:p>
    <w:p>
      <w:pPr>
        <w:ind w:left="255" w:hanging="142"/>
      </w:pPr>
      <w:r>
        <w:rPr>
          <w:b/>
          <w:color w:val="E77C3C"/>
        </w:rPr>
        <w:t xml:space="preserve">• </w:t>
      </w:r>
      <w:r>
        <w:t>`GET /health` : état du service et paramètres principaux.</w:t>
      </w:r>
    </w:p>
    <w:p>
      <w:pPr>
        <w:ind w:left="255" w:hanging="142"/>
      </w:pPr>
      <w:r>
        <w:rPr>
          <w:b/>
          <w:color w:val="E77C3C"/>
        </w:rPr>
        <w:t xml:space="preserve">• </w:t>
      </w:r>
      <w:r>
        <w:t>`POST /ask` : question non vide, réponse augmentée et sources.</w:t>
      </w:r>
    </w:p>
    <w:p>
      <w:pPr>
        <w:ind w:left="255" w:hanging="142"/>
      </w:pPr>
      <w:r>
        <w:rPr>
          <w:b/>
          <w:color w:val="E77C3C"/>
        </w:rPr>
        <w:t xml:space="preserve">• </w:t>
      </w:r>
      <w:r>
        <w:t>`POST /rebuild` : reconstruction complète puis réinitialisation du runtime.</w:t>
      </w:r>
    </w:p>
    <w:p>
      <w:pPr>
        <w:ind w:left="255" w:hanging="142"/>
      </w:pPr>
      <w:r>
        <w:rPr>
          <w:b/>
          <w:color w:val="E77C3C"/>
        </w:rPr>
        <w:t xml:space="preserve">• </w:t>
      </w:r>
      <w:r>
        <w:t>`GET /docs` : documentation Swagger générée par FastAPI.</w:t>
      </w:r>
    </w:p>
    <w:p>
      <w:pPr>
        <w:spacing w:before="80" w:after="140"/>
        <w:ind w:left="227" w:right="227"/>
        <w:shd w:fill="F7F2E8"/>
      </w:pPr>
      <w:r>
        <w:rPr>
          <w:rFonts w:ascii="Liberation Mono" w:hAnsi="Liberation Mono"/>
          <w:color w:val="18324A"/>
          <w:sz w:val="17"/>
        </w:rPr>
        <w:t>curl -X POST http://localhost:8000/ask \</w:t>
        <w:br/>
        <w:t xml:space="preserve">  -H "Content-Type: application/json" \</w:t>
        <w:br/>
        <w:t xml:space="preserve">  -d '{"question":"Parle-moi de Concert Fishers a Paris"}'</w:t>
      </w:r>
    </w:p>
    <w:p>
      <w:r>
        <w:t>Les questions vides et les erreurs de configuration produisent des réponses HTTP explicites. La clé Mistral n'est jamais retournée. `/rebuild` peut être protégé par l'en-tête `X-Admin-Token`.</w:t>
      </w:r>
    </w:p>
    <w:p>
      <w:r>
        <w:br w:type="page"/>
      </w:r>
    </w:p>
    <w:p>
      <w:pPr>
        <w:pStyle w:val="Heading1"/>
      </w:pPr>
      <w:r>
        <w:t>7. Évaluation du système</w:t>
      </w:r>
    </w:p>
    <w:p>
      <w:r>
        <w:t>Le jeu versionné contient 3 cas annotés. Chaque exemple conserve la question, les contextes exactement transmis au LLM, la réponse, une référence humaine, quatre scores et leur interprétation.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D5DEE3"/>
          <w:left w:val="single" w:sz="6" w:color="D5DEE3"/>
          <w:bottom w:val="single" w:sz="6" w:color="D5DEE3"/>
          <w:right w:val="single" w:sz="6" w:color="D5DEE3"/>
          <w:insideH w:val="single" w:sz="6" w:color="D5DEE3"/>
          <w:insideV w:val="single" w:sz="6" w:color="D5DEE3"/>
        </w:tblBorders>
      </w:tblPr>
      <w:tblGrid>
        <w:gridCol w:w="3289"/>
        <w:gridCol w:w="3289"/>
        <w:gridCol w:w="3289"/>
      </w:tblGrid>
      <w:tr>
        <w:tc>
          <w:tcPr>
            <w:tcW w:type="dxa" w:w="3289"/>
            <w:shd w:fill="18324A"/>
          </w:tcPr>
          <w:p>
            <w:r>
              <w:rPr>
                <w:b/>
                <w:color w:val="FFFFFF"/>
              </w:rPr>
              <w:t>Métrique</w:t>
            </w:r>
          </w:p>
        </w:tc>
        <w:tc>
          <w:tcPr>
            <w:tcW w:type="dxa" w:w="3289"/>
            <w:shd w:fill="18324A"/>
          </w:tcPr>
          <w:p>
            <w:r>
              <w:rPr>
                <w:b/>
                <w:color w:val="FFFFFF"/>
              </w:rPr>
              <w:t>Score moyen</w:t>
            </w:r>
          </w:p>
        </w:tc>
        <w:tc>
          <w:tcPr>
            <w:tcW w:type="dxa" w:w="3289"/>
            <w:shd w:fill="18324A"/>
          </w:tcPr>
          <w:p>
            <w:r>
              <w:rPr>
                <w:b/>
                <w:color w:val="FFFFFF"/>
              </w:rPr>
              <w:t>Interprétation</w:t>
            </w:r>
          </w:p>
        </w:tc>
      </w:tr>
      <w:tr>
        <w:tc>
          <w:tcPr>
            <w:tcW w:type="dxa" w:w="3289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>Fidélité au contexte</w:t>
            </w:r>
          </w:p>
        </w:tc>
        <w:tc>
          <w:tcPr>
            <w:tcW w:type="dxa" w:w="3289"/>
            <w:tcMar>
              <w:top w:w="120" w:type="dxa"/>
              <w:left w:w="120" w:type="dxa"/>
              <w:bottom w:w="120" w:type="dxa"/>
              <w:right w:w="120" w:type="dxa"/>
            </w:tcMar>
            <w:shd w:fill="E7F2F1"/>
          </w:tcPr>
          <w:p>
            <w:r>
              <w:t>0.900</w:t>
            </w:r>
          </w:p>
        </w:tc>
        <w:tc>
          <w:tcPr>
            <w:tcW w:type="dxa" w:w="3289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>fort</w:t>
            </w:r>
          </w:p>
        </w:tc>
      </w:tr>
      <w:tr>
        <w:tc>
          <w:tcPr>
            <w:tcW w:type="dxa" w:w="3289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>Pertinence de la réponse</w:t>
            </w:r>
          </w:p>
        </w:tc>
        <w:tc>
          <w:tcPr>
            <w:tcW w:type="dxa" w:w="3289"/>
            <w:tcMar>
              <w:top w:w="120" w:type="dxa"/>
              <w:left w:w="120" w:type="dxa"/>
              <w:bottom w:w="120" w:type="dxa"/>
              <w:right w:w="120" w:type="dxa"/>
            </w:tcMar>
            <w:shd w:fill="E7F2F1"/>
          </w:tcPr>
          <w:p>
            <w:r>
              <w:t>0.846</w:t>
            </w:r>
          </w:p>
        </w:tc>
        <w:tc>
          <w:tcPr>
            <w:tcW w:type="dxa" w:w="3289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>fort</w:t>
            </w:r>
          </w:p>
        </w:tc>
      </w:tr>
      <w:tr>
        <w:tc>
          <w:tcPr>
            <w:tcW w:type="dxa" w:w="3289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>Précision du contexte</w:t>
            </w:r>
          </w:p>
        </w:tc>
        <w:tc>
          <w:tcPr>
            <w:tcW w:type="dxa" w:w="3289"/>
            <w:tcMar>
              <w:top w:w="120" w:type="dxa"/>
              <w:left w:w="120" w:type="dxa"/>
              <w:bottom w:w="120" w:type="dxa"/>
              <w:right w:w="120" w:type="dxa"/>
            </w:tcMar>
            <w:shd w:fill="E7F2F1"/>
          </w:tcPr>
          <w:p>
            <w:r>
              <w:t>1.000</w:t>
            </w:r>
          </w:p>
        </w:tc>
        <w:tc>
          <w:tcPr>
            <w:tcW w:type="dxa" w:w="3289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>fort</w:t>
            </w:r>
          </w:p>
        </w:tc>
      </w:tr>
      <w:tr>
        <w:tc>
          <w:tcPr>
            <w:tcW w:type="dxa" w:w="3289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>Correction de la réponse</w:t>
            </w:r>
          </w:p>
        </w:tc>
        <w:tc>
          <w:tcPr>
            <w:tcW w:type="dxa" w:w="3289"/>
            <w:tcMar>
              <w:top w:w="120" w:type="dxa"/>
              <w:left w:w="120" w:type="dxa"/>
              <w:bottom w:w="120" w:type="dxa"/>
              <w:right w:w="120" w:type="dxa"/>
            </w:tcMar>
            <w:shd w:fill="FBEADF"/>
          </w:tcPr>
          <w:p>
            <w:r>
              <w:t>0.683</w:t>
            </w:r>
          </w:p>
        </w:tc>
        <w:tc>
          <w:tcPr>
            <w:tcW w:type="dxa" w:w="3289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>acceptable</w:t>
            </w:r>
          </w:p>
        </w:tc>
      </w:tr>
    </w:tbl>
    <w:p>
      <w:r>
        <w:t>Seuils d'interprétation : fort ≥ 0,80 ; acceptable ≥ 0,60 ; à améliorer &lt; 0,60. Trois exemples démontrent la méthode mais ne constituent pas un benchmark statistique.</w:t>
      </w:r>
    </w:p>
    <w:p>
      <w:r>
        <w:br w:type="page"/>
      </w:r>
    </w:p>
    <w:p>
      <w:pPr>
        <w:pStyle w:val="Heading2"/>
      </w:pPr>
      <w:r>
        <w:t>Exemple RAGAS 1 — concert_fishers</w:t>
      </w:r>
    </w:p>
    <w:p>
      <w:r>
        <w:t>Question : Parle-moi de Concert Fishers a Paris</w:t>
      </w:r>
    </w:p>
    <w:p>
      <w:r>
        <w:t>Contexte principal : [Source 1] Titre: Concert Fishers Ville: Paris Lieu: Le Gymnase Montparnasse Debut: 2026-06-21T19:30:00+02:00 Fin: 2026-06-21T23:30:00+02:00 Categories: non renseignees URL: https://openagenda.com/fetedelamusique2026/events/concert-fishers Contenu: Concert Fishers  Reprises pop, rock, funk  Reprises pop, rock, funk  200  Le Gymnase Montparnasse  Paris  Fête de la musique 2026</w:t>
      </w:r>
    </w:p>
    <w:p>
      <w:r>
        <w:t>Réponse générée : **Concert Fishers** à Paris :</w:t>
        <w:br/>
        <w:t>Un concert de reprises pop, rock et funk, dans le cadre de la **Fête de la musique 2026**.</w:t>
        <w:br/>
        <w:t>📅 **Date** : 21 juin 2026 à 19h30</w:t>
        <w:br/>
        <w:t>📍 **Lieu** : Le Gymnase Montparnasse, Paris</w:t>
        <w:br/>
        <w:t>🔗 [Plus d'infos](https://openagenda.com/fetedelamusique2026/events/concert-fishers)</w:t>
        <w:br/>
        <w:br/>
        <w:t>Si tu aimes les ambiances festives et les reprises énergiques, cet événement est fait pour toi !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D5DEE3"/>
          <w:left w:val="single" w:sz="6" w:color="D5DEE3"/>
          <w:bottom w:val="single" w:sz="6" w:color="D5DEE3"/>
          <w:right w:val="single" w:sz="6" w:color="D5DEE3"/>
          <w:insideH w:val="single" w:sz="6" w:color="D5DEE3"/>
          <w:insideV w:val="single" w:sz="6" w:color="D5DEE3"/>
        </w:tblBorders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fill="18324A"/>
          </w:tcPr>
          <w:p>
            <w:r>
              <w:rPr>
                <w:b/>
                <w:color w:val="FFFFFF"/>
                <w:sz w:val="16"/>
              </w:rPr>
              <w:t>faithfulness</w:t>
            </w:r>
          </w:p>
        </w:tc>
        <w:tc>
          <w:tcPr>
            <w:tcW w:type="dxa" w:w="2466"/>
            <w:shd w:fill="18324A"/>
          </w:tcPr>
          <w:p>
            <w:r>
              <w:rPr>
                <w:b/>
                <w:color w:val="FFFFFF"/>
                <w:sz w:val="16"/>
              </w:rPr>
              <w:t>answer relevancy</w:t>
            </w:r>
          </w:p>
        </w:tc>
        <w:tc>
          <w:tcPr>
            <w:tcW w:type="dxa" w:w="2466"/>
            <w:shd w:fill="18324A"/>
          </w:tcPr>
          <w:p>
            <w:r>
              <w:rPr>
                <w:b/>
                <w:color w:val="FFFFFF"/>
                <w:sz w:val="16"/>
              </w:rPr>
              <w:t>context precision</w:t>
            </w:r>
          </w:p>
        </w:tc>
        <w:tc>
          <w:tcPr>
            <w:tcW w:type="dxa" w:w="2466"/>
            <w:shd w:fill="18324A"/>
          </w:tcPr>
          <w:p>
            <w:r>
              <w:rPr>
                <w:b/>
                <w:color w:val="FFFFFF"/>
                <w:sz w:val="16"/>
              </w:rPr>
              <w:t>answer correctness</w:t>
            </w:r>
          </w:p>
        </w:tc>
      </w:tr>
      <w:tr>
        <w:tc>
          <w:tcPr>
            <w:tcW w:type="dxa" w:w="2466"/>
            <w:shd w:fill="FBEADF"/>
          </w:tcPr>
          <w:p>
            <w:r>
              <w:t>0.750</w:t>
              <w:br/>
              <w:t>acceptable</w:t>
            </w:r>
          </w:p>
        </w:tc>
        <w:tc>
          <w:tcPr>
            <w:tcW w:type="dxa" w:w="2466"/>
            <w:shd w:fill="E7F2F1"/>
          </w:tcPr>
          <w:p>
            <w:r>
              <w:t>0.805</w:t>
              <w:br/>
              <w:t>fort</w:t>
            </w:r>
          </w:p>
        </w:tc>
        <w:tc>
          <w:tcPr>
            <w:tcW w:type="dxa" w:w="2466"/>
            <w:shd w:fill="E7F2F1"/>
          </w:tcPr>
          <w:p>
            <w:r>
              <w:t>1.000</w:t>
              <w:br/>
              <w:t>fort</w:t>
            </w:r>
          </w:p>
        </w:tc>
        <w:tc>
          <w:tcPr>
            <w:tcW w:type="dxa" w:w="2466"/>
            <w:shd w:fill="FBEADF"/>
          </w:tcPr>
          <w:p>
            <w:r>
              <w:t>0.738</w:t>
              <w:br/>
              <w:t>acceptable</w:t>
            </w:r>
          </w:p>
        </w:tc>
      </w:tr>
    </w:tbl>
    <w:p>
      <w:r>
        <w:t>Interprétation : score global 0.823, niveau « fort ». Les écarts orientent les améliorations du prompt et des références.</w:t>
      </w:r>
    </w:p>
    <w:p>
      <w:r>
        <w:br w:type="page"/>
      </w:r>
    </w:p>
    <w:p>
      <w:pPr>
        <w:pStyle w:val="Heading2"/>
      </w:pPr>
      <w:r>
        <w:t>Exemple RAGAS 2 — salon_photo</w:t>
      </w:r>
    </w:p>
    <w:p>
      <w:r>
        <w:t>Question : Parle-moi de SALON DE LA PHOTO a Paris</w:t>
      </w:r>
    </w:p>
    <w:p>
      <w:r>
        <w:t>Contexte principal : [Source 1] Titre: SALON DE LA PHOTO Ville: Paris Lieu: Grande Halle de la Villette Debut: 2025-10-09T10:00:00+02:00 Fin: 2025-10-12T19:00:00+02:00 Categories: photographie amateurs professionnels matériels exposition salon URL: https://openagenda.com/totaleimpro20/events/salon-de-la-photo Contenu: SALON DE LA PHOTO  Rendez-vous incontournable des amateurs et des professionnels de la photographie  Du 9 au 12 octobre 2025, de 10h à 19h, les portes d’un lieu hors du temps s’ouvrent aux photographes, vidéastes et créateurs de tous horizons — passionnés curieux, débutants rêveurs ou professionnels aguerris. Quatre jours pour vivre une parenthèse i…</w:t>
      </w:r>
    </w:p>
    <w:p>
      <w:r>
        <w:t>Réponse générée : **SALON DE LA PHOTO** à Paris</w:t>
        <w:br/>
        <w:t>📅 **Du 9 au 12 octobre 2025** (10h-19h)</w:t>
        <w:br/>
        <w:t>📍 **Grande Halle de la Villette**</w:t>
        <w:br/>
        <w:t>🔗 [Plus d'infos](https://openagenda.com/totaleimpro20/events/salon-de-la-photo)</w:t>
        <w:br/>
        <w:br/>
        <w:t>**Pourquoi y aller ?**</w:t>
        <w:br/>
        <w:t>Événement incontournable pour les amateurs et professionnels de photographie, avec expositions, matériel, ateliers et rencontres. Idéal pour s’inspirer, se former ou s’équiper.</w:t>
        <w:br/>
        <w:br/>
        <w:t>*Entrée payante (places gratuites possibles).*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D5DEE3"/>
          <w:left w:val="single" w:sz="6" w:color="D5DEE3"/>
          <w:bottom w:val="single" w:sz="6" w:color="D5DEE3"/>
          <w:right w:val="single" w:sz="6" w:color="D5DEE3"/>
          <w:insideH w:val="single" w:sz="6" w:color="D5DEE3"/>
          <w:insideV w:val="single" w:sz="6" w:color="D5DEE3"/>
        </w:tblBorders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fill="18324A"/>
          </w:tcPr>
          <w:p>
            <w:r>
              <w:rPr>
                <w:b/>
                <w:color w:val="FFFFFF"/>
                <w:sz w:val="16"/>
              </w:rPr>
              <w:t>faithfulness</w:t>
            </w:r>
          </w:p>
        </w:tc>
        <w:tc>
          <w:tcPr>
            <w:tcW w:type="dxa" w:w="2466"/>
            <w:shd w:fill="18324A"/>
          </w:tcPr>
          <w:p>
            <w:r>
              <w:rPr>
                <w:b/>
                <w:color w:val="FFFFFF"/>
                <w:sz w:val="16"/>
              </w:rPr>
              <w:t>answer relevancy</w:t>
            </w:r>
          </w:p>
        </w:tc>
        <w:tc>
          <w:tcPr>
            <w:tcW w:type="dxa" w:w="2466"/>
            <w:shd w:fill="18324A"/>
          </w:tcPr>
          <w:p>
            <w:r>
              <w:rPr>
                <w:b/>
                <w:color w:val="FFFFFF"/>
                <w:sz w:val="16"/>
              </w:rPr>
              <w:t>context precision</w:t>
            </w:r>
          </w:p>
        </w:tc>
        <w:tc>
          <w:tcPr>
            <w:tcW w:type="dxa" w:w="2466"/>
            <w:shd w:fill="18324A"/>
          </w:tcPr>
          <w:p>
            <w:r>
              <w:rPr>
                <w:b/>
                <w:color w:val="FFFFFF"/>
                <w:sz w:val="16"/>
              </w:rPr>
              <w:t>answer correctness</w:t>
            </w:r>
          </w:p>
        </w:tc>
      </w:tr>
      <w:tr>
        <w:tc>
          <w:tcPr>
            <w:tcW w:type="dxa" w:w="2466"/>
            <w:shd w:fill="E7F2F1"/>
          </w:tcPr>
          <w:p>
            <w:r>
              <w:t>1.000</w:t>
              <w:br/>
              <w:t>fort</w:t>
            </w:r>
          </w:p>
        </w:tc>
        <w:tc>
          <w:tcPr>
            <w:tcW w:type="dxa" w:w="2466"/>
            <w:shd w:fill="E7F2F1"/>
          </w:tcPr>
          <w:p>
            <w:r>
              <w:t>0.817</w:t>
              <w:br/>
              <w:t>fort</w:t>
            </w:r>
          </w:p>
        </w:tc>
        <w:tc>
          <w:tcPr>
            <w:tcW w:type="dxa" w:w="2466"/>
            <w:shd w:fill="E7F2F1"/>
          </w:tcPr>
          <w:p>
            <w:r>
              <w:t>1.000</w:t>
              <w:br/>
              <w:t>fort</w:t>
            </w:r>
          </w:p>
        </w:tc>
        <w:tc>
          <w:tcPr>
            <w:tcW w:type="dxa" w:w="2466"/>
            <w:shd w:fill="FBEADF"/>
          </w:tcPr>
          <w:p>
            <w:r>
              <w:t>0.730</w:t>
              <w:br/>
              <w:t>acceptable</w:t>
            </w:r>
          </w:p>
        </w:tc>
      </w:tr>
    </w:tbl>
    <w:p>
      <w:r>
        <w:t>Interprétation : score global 0.887, niveau « fort ». Les écarts orientent les améliorations du prompt et des références.</w:t>
      </w:r>
    </w:p>
    <w:p>
      <w:r>
        <w:br w:type="page"/>
      </w:r>
    </w:p>
    <w:p>
      <w:pPr>
        <w:pStyle w:val="Heading2"/>
      </w:pPr>
      <w:r>
        <w:t>Exemple RAGAS 3 — sortie_famille</w:t>
      </w:r>
    </w:p>
    <w:p>
      <w:r>
        <w:t>Question : Je cherche une sortie en famille a Paris avec une visite theatricalisee</w:t>
      </w:r>
    </w:p>
    <w:p>
      <w:r>
        <w:t>Contexte principal : [Source 1] Titre: Activité en famille : une visite théâtralisée dans le Marais Ville: Paris Lieu: Pont Marie Debut: 2025-08-27T14:30:00+02:00 Fin: 2025-09-21T16:00:00+02:00 Categories: non renseignees URL: https://openagenda.com/unidivers-oui-sortir/events/activite-en-famille-une-visite-theatralisee-dans-le-marais Contenu: Activité en famille : une visite théâtralisée dans le Marais  Plongez dans une aventure touristique captivante où des comédiens vous guideront à travers le quartier mythique du Marais.</w:t>
      </w:r>
    </w:p>
    <w:p>
      <w:r>
        <w:t>Réponse générée : Voici des suggestions de visites théâtralisées en famille à Paris :</w:t>
        <w:br/>
        <w:br/>
        <w:t>1. **Visite théâtralisée dans le Marais**</w:t>
        <w:br/>
        <w:t xml:space="preserve">   - **Pourquoi ?** Une aventure guidée par des comédiens dans le quartier historique du Marais, idéale pour les familles.</w:t>
        <w:br/>
        <w:t xml:space="preserve">   - **Lieu** : Pont Marie, Paris</w:t>
        <w:br/>
        <w:t xml:space="preserve">   - **Dates** : Du 27 août au 21 septembre 2025</w:t>
        <w:br/>
        <w:t xml:space="preserve">   - **Horaires** : 14h30 à 16h00</w:t>
        <w:br/>
        <w:t xml:space="preserve">   - **Lien** : [OpenAgenda](https://openagenda.com/unidivers-oui-sortir/events/activite-en-famille-une-visite-theatralisee-dans-le-marais)</w:t>
        <w:br/>
        <w:br/>
        <w:t>2. **Visite théâtralisée des Passages Couverts**</w:t>
        <w:br/>
        <w:t xml:space="preserve">   - **Pourquoi ?** Une expérience immersive et ludique où vous enquêtez dans les passages couverts de Paris (Passage Jouffroy, etc.).</w:t>
        <w:br/>
        <w:t xml:space="preserve">   - **Lieu** : Passages couverts, Paris</w:t>
        <w:br/>
        <w:t xml:space="preserve">   - **Dates** : Du 2 août au 31 octobre 2025</w:t>
        <w:br/>
        <w:t xml:space="preserve">   - **Horaires** : 14h30 à 16h00 (attention, l'heure de début semble incorrecte dans la source, vérifiez sur le lien)</w:t>
        <w:br/>
        <w:t xml:space="preserve">   - **Lien** : [OpenAgenda](https://openagenda.com/unidivers-oui-sortir/events/une-experience-insolite-en-famille-une-visite-theatralisee-des-passages-couverts)</w:t>
        <w:br/>
        <w:br/>
        <w:t>3. **Visites Spectacles (concept immersif)**</w:t>
        <w:br/>
        <w:t xml:space="preserve">   - **Pourquoi ?** Des comédiens transforment Paris en décor de théâtre avec des scénarios variés (enquêtes, contes, pièces en plein air).</w:t>
        <w:br/>
        <w:t xml:space="preserve">   - **Lieu** : Plusieurs quartiers de Paris (parcours variables)</w:t>
        <w:br/>
        <w:t xml:space="preserve">   - **Dates** : Du 28 mars au 27 décembre 2026</w:t>
        <w:br/>
        <w:t xml:space="preserve">   - **Horaires** : 14h30 à 17h00 (selon le parcours)</w:t>
        <w:br/>
        <w:t xml:space="preserve">   - **Lien** : [OpenAgenda](https://openagenda.com/unidivers-oui-sortir/events/visites-spectacles-decouvrez-paris-comme-vous-ne-lavez-jamais-vu)</w:t>
        <w:br/>
        <w:br/>
        <w:t>*Conseil* : Réservez à l'avance pour les visites à places limitées (ex. : Chaillot - Théâtre national de la Danse).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D5DEE3"/>
          <w:left w:val="single" w:sz="6" w:color="D5DEE3"/>
          <w:bottom w:val="single" w:sz="6" w:color="D5DEE3"/>
          <w:right w:val="single" w:sz="6" w:color="D5DEE3"/>
          <w:insideH w:val="single" w:sz="6" w:color="D5DEE3"/>
          <w:insideV w:val="single" w:sz="6" w:color="D5DEE3"/>
        </w:tblBorders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fill="18324A"/>
          </w:tcPr>
          <w:p>
            <w:r>
              <w:rPr>
                <w:b/>
                <w:color w:val="FFFFFF"/>
                <w:sz w:val="16"/>
              </w:rPr>
              <w:t>faithfulness</w:t>
            </w:r>
          </w:p>
        </w:tc>
        <w:tc>
          <w:tcPr>
            <w:tcW w:type="dxa" w:w="2466"/>
            <w:shd w:fill="18324A"/>
          </w:tcPr>
          <w:p>
            <w:r>
              <w:rPr>
                <w:b/>
                <w:color w:val="FFFFFF"/>
                <w:sz w:val="16"/>
              </w:rPr>
              <w:t>answer relevancy</w:t>
            </w:r>
          </w:p>
        </w:tc>
        <w:tc>
          <w:tcPr>
            <w:tcW w:type="dxa" w:w="2466"/>
            <w:shd w:fill="18324A"/>
          </w:tcPr>
          <w:p>
            <w:r>
              <w:rPr>
                <w:b/>
                <w:color w:val="FFFFFF"/>
                <w:sz w:val="16"/>
              </w:rPr>
              <w:t>context precision</w:t>
            </w:r>
          </w:p>
        </w:tc>
        <w:tc>
          <w:tcPr>
            <w:tcW w:type="dxa" w:w="2466"/>
            <w:shd w:fill="18324A"/>
          </w:tcPr>
          <w:p>
            <w:r>
              <w:rPr>
                <w:b/>
                <w:color w:val="FFFFFF"/>
                <w:sz w:val="16"/>
              </w:rPr>
              <w:t>answer correctness</w:t>
            </w:r>
          </w:p>
        </w:tc>
      </w:tr>
      <w:tr>
        <w:tc>
          <w:tcPr>
            <w:tcW w:type="dxa" w:w="2466"/>
            <w:shd w:fill="E7F2F1"/>
          </w:tcPr>
          <w:p>
            <w:r>
              <w:t>0.950</w:t>
              <w:br/>
              <w:t>fort</w:t>
            </w:r>
          </w:p>
        </w:tc>
        <w:tc>
          <w:tcPr>
            <w:tcW w:type="dxa" w:w="2466"/>
            <w:shd w:fill="E7F2F1"/>
          </w:tcPr>
          <w:p>
            <w:r>
              <w:t>0.916</w:t>
              <w:br/>
              <w:t>fort</w:t>
            </w:r>
          </w:p>
        </w:tc>
        <w:tc>
          <w:tcPr>
            <w:tcW w:type="dxa" w:w="2466"/>
            <w:shd w:fill="E7F2F1"/>
          </w:tcPr>
          <w:p>
            <w:r>
              <w:t>1.000</w:t>
              <w:br/>
              <w:t>fort</w:t>
            </w:r>
          </w:p>
        </w:tc>
        <w:tc>
          <w:tcPr>
            <w:tcW w:type="dxa" w:w="2466"/>
            <w:shd w:fill="FBEADF"/>
          </w:tcPr>
          <w:p>
            <w:r>
              <w:t>0.581</w:t>
              <w:br/>
              <w:t>a ameliorer</w:t>
            </w:r>
          </w:p>
        </w:tc>
      </w:tr>
    </w:tbl>
    <w:p>
      <w:r>
        <w:t>Interprétation : score global 0.862, niveau « fort ». Les écarts orientent les améliorations du prompt et des références.</w:t>
      </w:r>
    </w:p>
    <w:p>
      <w:r>
        <w:br w:type="page"/>
      </w:r>
    </w:p>
    <w:p>
      <w:pPr>
        <w:pStyle w:val="Heading1"/>
      </w:pPr>
      <w:r>
        <w:t>8. Recommandations et perspectives</w:t>
      </w:r>
    </w:p>
    <w:p>
      <w:pPr>
        <w:ind w:left="255" w:hanging="142"/>
      </w:pPr>
      <w:r>
        <w:rPr>
          <w:b/>
          <w:color w:val="E77C3C"/>
        </w:rPr>
        <w:t xml:space="preserve">• </w:t>
      </w:r>
      <w:r>
        <w:t>Élargir le jeu annoté à plusieurs villes, catégories, saisons et cas négatifs.</w:t>
      </w:r>
    </w:p>
    <w:p>
      <w:pPr>
        <w:ind w:left="255" w:hanging="142"/>
      </w:pPr>
      <w:r>
        <w:rPr>
          <w:b/>
          <w:color w:val="E77C3C"/>
        </w:rPr>
        <w:t xml:space="preserve">• </w:t>
      </w:r>
      <w:r>
        <w:t>Ajouter un seuil de similarité afin de rejeter plus tôt les questions hors corpus.</w:t>
      </w:r>
    </w:p>
    <w:p>
      <w:pPr>
        <w:ind w:left="255" w:hanging="142"/>
      </w:pPr>
      <w:r>
        <w:rPr>
          <w:b/>
          <w:color w:val="E77C3C"/>
        </w:rPr>
        <w:t xml:space="preserve">• </w:t>
      </w:r>
      <w:r>
        <w:t>Renforcer le prompt pour mieux aligner la réponse avec la référence attendue.</w:t>
      </w:r>
    </w:p>
    <w:p>
      <w:pPr>
        <w:ind w:left="255" w:hanging="142"/>
      </w:pPr>
      <w:r>
        <w:rPr>
          <w:b/>
          <w:color w:val="E77C3C"/>
        </w:rPr>
        <w:t xml:space="preserve">• </w:t>
      </w:r>
      <w:r>
        <w:t>Automatiser la collecte, la reconstruction et l'évaluation dans une CI.</w:t>
      </w:r>
    </w:p>
    <w:p>
      <w:pPr>
        <w:ind w:left="255" w:hanging="142"/>
      </w:pPr>
      <w:r>
        <w:rPr>
          <w:b/>
          <w:color w:val="E77C3C"/>
        </w:rPr>
        <w:t xml:space="preserve">• </w:t>
      </w:r>
      <w:r>
        <w:t>Ajouter authentification, supervision, limites de débit et tests de charge avant production.</w:t>
      </w:r>
    </w:p>
    <w:p>
      <w:r>
        <w:t>Le POC valide la faisabilité : le retrieval obtient une précision de contexte de 1.000 et la démonstration API complète s'exécute en moins de cinq minutes.</w:t>
      </w:r>
    </w:p>
    <w:p>
      <w:pPr>
        <w:pStyle w:val="Heading1"/>
      </w:pPr>
      <w:r>
        <w:t>9. Organisation du dépôt GitHub</w:t>
      </w:r>
    </w:p>
    <w:p>
      <w:pPr>
        <w:spacing w:before="80" w:after="140"/>
        <w:ind w:left="227" w:right="227"/>
        <w:shd w:fill="F7F2E8"/>
      </w:pPr>
      <w:r>
        <w:rPr>
          <w:rFonts w:ascii="Liberation Mono" w:hAnsi="Liberation Mono"/>
          <w:color w:val="18324A"/>
          <w:sz w:val="17"/>
        </w:rPr>
        <w:t>src/openagenda_rag/    logique ingestion, indexation, RAG, API, évaluation</w:t>
        <w:br/>
        <w:t>scripts/               commandes publiques et démonstration</w:t>
        <w:br/>
        <w:t>tests/                 tests réseau-off et fixtures annotées</w:t>
        <w:br/>
        <w:t>data/                  artefacts bruts, structurés et index FAISS</w:t>
        <w:br/>
        <w:t>outputs/               résultats RAGAS, chronométrage, PPTX et rapport</w:t>
        <w:br/>
        <w:t>docs/soutenance/       script oral et questions-réponses</w:t>
        <w:br/>
        <w:t>Dockerfile             image de l'API</w:t>
        <w:br/>
        <w:t>docker-compose.yml     exécution locale avec volume persistant</w:t>
      </w:r>
    </w:p>
    <w:p>
      <w:r>
        <w:t>`environment.yml` est la source Conda et `requirements.txt` sert aux installations pip et Docker. `.env` et les secrets sont ignorés par Git.</w:t>
      </w:r>
    </w:p>
    <w:p>
      <w:r>
        <w:br w:type="page"/>
      </w:r>
    </w:p>
    <w:p>
      <w:pPr>
        <w:pStyle w:val="Heading1"/>
      </w:pPr>
      <w:r>
        <w:t>10. Annexes</w:t>
      </w:r>
    </w:p>
    <w:p>
      <w:pPr>
        <w:pStyle w:val="Heading2"/>
      </w:pPr>
      <w:r>
        <w:t>Commandes de reproduction</w:t>
      </w:r>
    </w:p>
    <w:p>
      <w:pPr>
        <w:spacing w:before="80" w:after="140"/>
        <w:ind w:left="227" w:right="227"/>
        <w:shd w:fill="F7F2E8"/>
      </w:pPr>
      <w:r>
        <w:rPr>
          <w:rFonts w:ascii="Liberation Mono" w:hAnsi="Liberation Mono"/>
          <w:color w:val="18324A"/>
          <w:sz w:val="17"/>
        </w:rPr>
        <w:t>conda env create -f environment.yml</w:t>
        <w:br/>
        <w:t>conda activate openagenda-rag</w:t>
        <w:br/>
        <w:t>python scripts/check_env.py</w:t>
        <w:br/>
        <w:t>python scripts/evaluate_ragas.py</w:t>
        <w:br/>
        <w:t>docker compose up --build</w:t>
        <w:br/>
        <w:t>bash scripts/demo_api_5min.sh</w:t>
      </w:r>
    </w:p>
    <w:p>
      <w:pPr>
        <w:pStyle w:val="Heading2"/>
      </w:pPr>
      <w:r>
        <w:t>Traçabilité de l'évaluation</w:t>
      </w:r>
    </w:p>
    <w:p>
      <w:pPr>
        <w:ind w:left="255" w:hanging="142"/>
      </w:pPr>
      <w:r>
        <w:rPr>
          <w:b/>
          <w:color w:val="E77C3C"/>
        </w:rPr>
        <w:t xml:space="preserve">• </w:t>
      </w:r>
      <w:r>
        <w:t>RAGAS : version 0.4.3.</w:t>
      </w:r>
    </w:p>
    <w:p>
      <w:pPr>
        <w:ind w:left="255" w:hanging="142"/>
      </w:pPr>
      <w:r>
        <w:rPr>
          <w:b/>
          <w:color w:val="E77C3C"/>
        </w:rPr>
        <w:t xml:space="preserve">• </w:t>
      </w:r>
      <w:r>
        <w:t>Jeu annoté SHA-256 : baa353ade6616233685ddc08cf0d28f24b56754f69631ced12c7b635da65b502.</w:t>
      </w:r>
    </w:p>
    <w:p>
      <w:pPr>
        <w:ind w:left="255" w:hanging="142"/>
      </w:pPr>
      <w:r>
        <w:rPr>
          <w:b/>
          <w:color w:val="E77C3C"/>
        </w:rPr>
        <w:t xml:space="preserve">• </w:t>
      </w:r>
      <w:r>
        <w:t>Manifeste FAISS SHA-256 : 0d8c452633033b6dfd89afaa7069369dfbe65c501821ce3d8fc8998021922fb9.</w:t>
      </w:r>
    </w:p>
    <w:p>
      <w:pPr>
        <w:ind w:left="255" w:hanging="142"/>
      </w:pPr>
      <w:r>
        <w:rPr>
          <w:b/>
          <w:color w:val="E77C3C"/>
        </w:rPr>
        <w:t xml:space="preserve">• </w:t>
      </w:r>
      <w:r>
        <w:t>Commit de l'évaluation : 07365f3.</w:t>
      </w:r>
    </w:p>
    <w:p>
      <w:pPr>
        <w:ind w:left="255" w:hanging="142"/>
      </w:pPr>
      <w:r>
        <w:rPr>
          <w:b/>
          <w:color w:val="E77C3C"/>
        </w:rPr>
        <w:t xml:space="preserve">• </w:t>
      </w:r>
      <w:r>
        <w:t>Modèle juge : mistral-small-latest.</w:t>
      </w:r>
    </w:p>
    <w:p>
      <w:pPr>
        <w:ind w:left="255" w:hanging="142"/>
      </w:pPr>
      <w:r>
        <w:rPr>
          <w:b/>
          <w:color w:val="E77C3C"/>
        </w:rPr>
        <w:t xml:space="preserve">• </w:t>
      </w:r>
      <w:r>
        <w:t>Modèle d'embedding : mistral-embed.</w:t>
      </w:r>
    </w:p>
    <w:p>
      <w:pPr>
        <w:ind w:left="255" w:hanging="142"/>
      </w:pPr>
      <w:r>
        <w:rPr>
          <w:b/>
          <w:color w:val="E77C3C"/>
        </w:rPr>
        <w:t xml:space="preserve">• </w:t>
      </w:r>
      <w:r>
        <w:t>Évaluation générée le 2026-07-23T14:36:49Z.</w:t>
      </w:r>
    </w:p>
    <w:p>
      <w:pPr>
        <w:pStyle w:val="Heading2"/>
      </w:pPr>
      <w:r>
        <w:t>Livrables de soutenance</w:t>
      </w:r>
    </w:p>
    <w:p>
      <w:pPr>
        <w:ind w:left="255" w:hanging="142"/>
      </w:pPr>
      <w:r>
        <w:rPr>
          <w:b/>
          <w:color w:val="E77C3C"/>
        </w:rPr>
        <w:t xml:space="preserve">• </w:t>
      </w:r>
      <w:r>
        <w:t>`outputs/openagenda-rag-soutenance.pptx` : présentation de 15 slides.</w:t>
      </w:r>
    </w:p>
    <w:p>
      <w:pPr>
        <w:ind w:left="255" w:hanging="142"/>
      </w:pPr>
      <w:r>
        <w:rPr>
          <w:b/>
          <w:color w:val="E77C3C"/>
        </w:rPr>
        <w:t xml:space="preserve">• </w:t>
      </w:r>
      <w:r>
        <w:t>`docs/soutenance/script_soutenance_15min.md` : conducteur oral de 15 minutes.</w:t>
      </w:r>
    </w:p>
    <w:p>
      <w:pPr>
        <w:ind w:left="255" w:hanging="142"/>
      </w:pPr>
      <w:r>
        <w:rPr>
          <w:b/>
          <w:color w:val="E77C3C"/>
        </w:rPr>
        <w:t xml:space="preserve">• </w:t>
      </w:r>
      <w:r>
        <w:t>`docs/soutenance/questions_reponses.md` : 14 réponses techniques et métier.</w:t>
      </w:r>
    </w:p>
    <w:p>
      <w:pPr>
        <w:ind w:left="255" w:hanging="142"/>
      </w:pPr>
      <w:r>
        <w:rPr>
          <w:b/>
          <w:color w:val="E77C3C"/>
        </w:rPr>
        <w:t xml:space="preserve">• </w:t>
      </w:r>
      <w:r>
        <w:t>`outputs/demo/demo_api_timing.json` : preuve de démonstration chronométrée.</w:t>
      </w:r>
    </w:p>
    <w:sectPr>
      <w:footerReference w:type="default" r:id="rId6"/>
      <w:pgSz w:h="16838" w:w="11906" w:orient="portrait"/>
      <w:pgMar w:bottom="850" w:top="964" w:left="1020" w:right="10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Puls-Events | Assistant RAG OpenAgenda |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paragraph" w:styleId="Normal" w:default="1">
    <w:name w:val="normal"/>
    <w:pPr>
      <w:spacing w:after="100" w:line="259" w:lineRule="auto"/>
    </w:pPr>
    <w:rPr>
      <w:rFonts w:ascii="Aptos" w:hAnsi="Aptos"/>
      <w:color w:val="4A555F"/>
      <w:sz w:val="20"/>
    </w:rPr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160" w:lineRule="auto"/>
    </w:pPr>
    <w:rPr>
      <w:rFonts w:ascii="Aptos Display" w:hAnsi="Aptos Display"/>
      <w:b/>
      <w:color w:val="18324A"/>
      <w:sz w:val="5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160" w:lineRule="auto"/>
    </w:pPr>
    <w:rPr>
      <w:rFonts w:ascii="Aptos Display" w:hAnsi="Aptos Display"/>
      <w:b/>
      <w:color w:val="147D80"/>
      <w:sz w:val="34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20" w:before="160" w:lineRule="auto"/>
    </w:pPr>
    <w:rPr>
      <w:rFonts w:ascii="Aptos Display" w:hAnsi="Aptos Display"/>
      <w:b/>
      <w:color w:val="E77C3C"/>
      <w:sz w:val="24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160" w:lineRule="auto"/>
    </w:pPr>
    <w:rPr>
      <w:rFonts w:ascii="Aptos Display" w:hAnsi="Aptos Display"/>
      <w:b/>
      <w:color w:val="18324A"/>
      <w:sz w:val="60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