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Microsoft YaHei" w:eastAsia="Microsoft YaHei" w:hAnsi="Microsoft YaHei"/>
        </w:rPr>
        <w:t>居中标题——行高 36px</w:t>
      </w:r>
    </w:p>
    <w:p>
      <w:r>
        <w:rPr>
          <w:rFonts w:ascii="Microsoft YaHei" w:eastAsia="Microsoft YaHei" w:hAnsi="Microsoft YaHei"/>
          <w:sz w:val="32"/>
          <w:szCs w:val="32"/>
        </w:rPr>
        <w:t xml:space="preserve">这是一段居中对齐的文本，使用了 16px 字号 和 24px 行高。     通过 style 属性的 </w:t>
      </w:r>
      <w:r>
        <w:rPr>
          <w:rFonts w:ascii="Microsoft YaHei" w:eastAsia="Microsoft YaHei" w:hAnsi="Microsoft YaHei"/>
          <w:sz w:val="32"/>
          <w:szCs w:val="32"/>
        </w:rPr>
        <w:t>text-align:center</w:t>
      </w:r>
      <w:r>
        <w:rPr>
          <w:rFonts w:ascii="Microsoft YaHei" w:eastAsia="Microsoft YaHei" w:hAnsi="Microsoft YaHei"/>
          <w:sz w:val="32"/>
          <w:szCs w:val="32"/>
        </w:rPr>
        <w:t xml:space="preserve"> 实现居中，line-height:24px 设置行间距。</w:t>
      </w:r>
    </w:p>
    <w:p>
      <w:r>
        <w:rPr>
          <w:rFonts w:ascii="Microsoft YaHei" w:eastAsia="Microsoft YaHei" w:hAnsi="Microsoft YaHei"/>
          <w:sz w:val="24"/>
          <w:szCs w:val="24"/>
        </w:rPr>
        <w:t>这是一段左对齐文本（</w:t>
      </w:r>
      <w:r>
        <w:rPr>
          <w:rFonts w:ascii="Microsoft YaHei" w:eastAsia="Microsoft YaHei" w:hAnsi="Microsoft YaHei"/>
          <w:sz w:val="24"/>
          <w:szCs w:val="24"/>
        </w:rPr>
        <w:t>text-align:left</w:t>
      </w:r>
      <w:r>
        <w:rPr>
          <w:rFonts w:ascii="Microsoft YaHei" w:eastAsia="Microsoft YaHei" w:hAnsi="Microsoft YaHei"/>
          <w:sz w:val="24"/>
          <w:szCs w:val="24"/>
        </w:rPr>
        <w:t>），行高 20px，字号 12px。     用于验证多种不同设置的效果。</w:t>
      </w:r>
    </w:p>
    <w:p>
      <w:r>
        <w:rPr>
          <w:rFonts w:ascii="Microsoft YaHei" w:eastAsia="Microsoft YaHei" w:hAnsi="Microsoft YaHei"/>
        </w:rPr>
        <w:t xml:space="preserve">     这是一段右对齐文本（</w:t>
      </w:r>
      <w:r>
        <w:rPr>
          <w:rFonts w:ascii="Microsoft YaHei" w:eastAsia="Microsoft YaHei" w:hAnsi="Microsoft YaHei"/>
        </w:rPr>
        <w:t>text-align:right</w:t>
      </w:r>
      <w:r>
        <w:rPr>
          <w:rFonts w:ascii="Microsoft YaHei" w:eastAsia="Microsoft YaHei" w:hAnsi="Microsoft YaHei"/>
        </w:rPr>
        <w:t xml:space="preserve">），行高 28px，字号 14px。     </w:t>
      </w:r>
      <w:r>
        <w:rPr>
          <w:rFonts w:ascii="Microsoft YaHei" w:eastAsia="Microsoft YaHei" w:hAnsi="Microsoft YaHei"/>
          <w:b/>
          <w:bCs/>
          <w:color w:val="FF0000"/>
        </w:rPr>
        <w:t>文本颜色</w:t>
      </w:r>
      <w:r>
        <w:rPr>
          <w:rFonts w:ascii="Microsoft YaHei" w:eastAsia="Microsoft YaHei" w:hAnsi="Microsoft YaHei"/>
        </w:rPr>
        <w:t>和内联样式仍然正常工作。</w:t>
      </w:r>
    </w:p>
    <w:p>
      <w:r>
        <w:rPr>
          <w:rFonts w:ascii="Microsoft YaHei" w:eastAsia="Microsoft YaHei" w:hAnsi="Microsoft YaHei"/>
        </w:rPr>
        <w:t>两端对齐文本（</w:t>
      </w:r>
      <w:r>
        <w:rPr>
          <w:rFonts w:ascii="Microsoft YaHei" w:eastAsia="Microsoft YaHei" w:hAnsi="Microsoft YaHei"/>
        </w:rPr>
        <w:t>text-align:justify</w:t>
      </w:r>
      <w:r>
        <w:rPr>
          <w:rFonts w:ascii="Microsoft YaHei" w:eastAsia="Microsoft YaHei" w:hAnsi="Microsoft YaHei"/>
        </w:rPr>
        <w:t>）。两端对齐将文本均匀分布到整行，使左右两端都能对齐。这是一种常用于报纸和杂志的排版方式，可以让段落看起来更加整齐美观。</w:t>
      </w:r>
    </w:p>
    <w:p>
      <w:pPr>
        <w:pStyle w:val="Heading2"/>
      </w:pPr>
      <w:r>
        <w:rPr>
          <w:rFonts w:ascii="Microsoft YaHei" w:eastAsia="Microsoft YaHei" w:hAnsi="Microsoft YaHei"/>
        </w:rPr>
        <w:t>表格样式测试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4472C4"/>
          </w:tcPr>
          <w:p>
            <w:r>
              <w:rPr>
                <w:color w:val="FFFFFF"/>
              </w:rPr>
              <w:t>姓名（居中·垂直居中）</w:t>
            </w:r>
          </w:p>
        </w:tc>
        <w:tc>
          <w:tcPr>
            <w:tcW w:w="1800" w:type="dxa"/>
            <w:shd w:val="clear" w:color="auto" w:fill="4472C4"/>
          </w:tcPr>
          <w:p>
            <w:r>
              <w:rPr>
                <w:color w:val="FFFFFF"/>
              </w:rPr>
              <w:t>年龄（居中·垂直居中）</w:t>
            </w:r>
          </w:p>
        </w:tc>
        <w:tc>
          <w:tcPr>
            <w:tcW w:w="3000" w:type="dxa"/>
            <w:shd w:val="clear" w:color="auto" w:fill="4472C4"/>
          </w:tcPr>
          <w:p>
            <w:r>
              <w:rPr>
                <w:color w:val="FFFFFF"/>
              </w:rPr>
              <w:t>部门（居中·垂直居中）</w:t>
            </w:r>
          </w:p>
        </w:tc>
      </w:tr>
      <w:tr>
        <w:tc>
          <w:tcPr/>
          <w:p>
            <w:r>
              <w:t>张三</w:t>
            </w:r>
          </w:p>
        </w:tc>
        <w:tc>
          <w:tcPr/>
          <w:p>
            <w:r>
              <w:t>28</w:t>
            </w:r>
          </w:p>
        </w:tc>
        <w:tc>
          <w:tcPr/>
          <w:p>
            <w:r>
              <w:t>技术部</w:t>
            </w:r>
          </w:p>
        </w:tc>
      </w:tr>
      <w:tr>
        <w:tc>
          <w:tcPr/>
          <w:p>
            <w:r>
              <w:t>李四</w:t>
            </w:r>
          </w:p>
        </w:tc>
        <w:tc>
          <w:tcPr/>
          <w:p>
            <w:r>
              <w:t>32</w:t>
            </w:r>
          </w:p>
        </w:tc>
        <w:tc>
          <w:tcPr/>
          <w:p>
            <w:r>
              <w:t>市场部</w:t>
            </w:r>
          </w:p>
        </w:tc>
      </w:tr>
      <w:tr>
        <w:tc>
          <w:tcPr>
            <w:shd w:val="clear" w:color="auto" w:fill="FFF2CC"/>
          </w:tcPr>
          <w:p>
            <w:r>
              <w:t>王五（仅垂直居中，无 text-align）</w:t>
            </w:r>
          </w:p>
        </w:tc>
        <w:tc>
          <w:tcPr/>
          <w:p>
            <w:r>
              <w:t>25</w:t>
            </w:r>
          </w:p>
        </w:tc>
        <w:tc>
          <w:tcPr/>
          <w:p>
            <w:r>
              <w:t>设计部</w:t>
            </w:r>
          </w:p>
        </w:tc>
      </w:tr>
    </w:tbl>
    <w:p>
      <w:r>
        <w:rPr>
          <w:rFonts w:ascii="Microsoft YaHei" w:eastAsia="Microsoft YaHei" w:hAnsi="Microsoft YaHei"/>
        </w:rPr>
        <w:t>表格上方段落。</w:t>
      </w:r>
    </w:p>
    <w:p>
      <w:r>
        <w:rPr>
          <w:rFonts w:ascii="Microsoft YaHei" w:eastAsia="Microsoft YaHei" w:hAnsi="Microsoft YaHei"/>
        </w:rPr>
        <w:t>表格下方段落：验证表格不影响后续内容正常渲染。</w:t>
      </w:r>
    </w:p>
    <w:p>
      <w:pPr>
        <w:pStyle w:val="Heading2"/>
      </w:pPr>
      <w:r>
        <w:rPr>
          <w:rFonts w:ascii="Microsoft YaHei" w:eastAsia="Microsoft YaHei" w:hAnsi="Microsoft YaHei"/>
        </w:rPr>
        <w:t>跨列跨行测试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5B9BD5"/>
          </w:tcPr>
          <w:p>
            <w:r>
              <w:rPr>
                <w:color w:val="FFFFFF"/>
              </w:rPr>
              <w:t>项目</w:t>
            </w:r>
          </w:p>
        </w:tc>
        <w:tc>
          <w:tcPr>
            <w:gridSpan w:val="2"/>
            <w:shd w:val="clear" w:color="auto" w:fill="5B9BD5"/>
          </w:tcPr>
          <w:p>
            <w:r>
              <w:rPr>
                <w:color w:val="FFFFFF"/>
              </w:rPr>
              <w:t>Q1 季度数据</w:t>
            </w:r>
          </w:p>
        </w:tc>
        <w:tc>
          <w:tcPr>
            <w:gridSpan w:val="2"/>
            <w:shd w:val="clear" w:color="auto" w:fill="5B9BD5"/>
          </w:tcPr>
          <w:p>
            <w:r>
              <w:rPr>
                <w:color w:val="FFFFFF"/>
              </w:rPr>
              <w:t>Q2 季度数据</w:t>
            </w:r>
          </w:p>
        </w:tc>
      </w:tr>
      <w:tr>
        <w:tc>
          <w:tcPr/>
          <w:p>
            <w:r>
              <w:t/>
            </w:r>
          </w:p>
        </w:tc>
        <w:tc>
          <w:tcPr>
            <w:shd w:val="clear" w:color="auto" w:fill="D6E4F0"/>
          </w:tcPr>
          <w:p>
            <w:r>
              <w:t>收入</w:t>
            </w:r>
          </w:p>
        </w:tc>
        <w:tc>
          <w:tcPr>
            <w:shd w:val="clear" w:color="auto" w:fill="D6E4F0"/>
          </w:tcPr>
          <w:p>
            <w:r>
              <w:t>支出</w:t>
            </w:r>
          </w:p>
        </w:tc>
        <w:tc>
          <w:tcPr>
            <w:shd w:val="clear" w:color="auto" w:fill="D6E4F0"/>
          </w:tcPr>
          <w:p>
            <w:r>
              <w:t>收入</w:t>
            </w:r>
          </w:p>
        </w:tc>
        <w:tc>
          <w:tcPr>
            <w:shd w:val="clear" w:color="auto" w:fill="D6E4F0"/>
          </w:tcPr>
          <w:p>
            <w:r>
              <w:t>支出</w:t>
            </w:r>
          </w:p>
        </w:tc>
      </w:tr>
      <w:tr>
        <w:tc>
          <w:tcPr>
            <w:shd w:val="clear" w:color="auto" w:fill="FFF2CC"/>
          </w:tcPr>
          <w:p>
            <w:r>
              <w:t>A 组</w:t>
            </w:r>
          </w:p>
        </w:tc>
        <w:tc>
          <w:tcPr/>
          <w:p>
            <w:r>
              <w:t>120,000</w:t>
            </w:r>
          </w:p>
        </w:tc>
        <w:tc>
          <w:tcPr/>
          <w:p>
            <w:r>
              <w:t>80,000</w:t>
            </w:r>
          </w:p>
        </w:tc>
        <w:tc>
          <w:tcPr/>
          <w:p>
            <w:r>
              <w:t>145,000</w:t>
            </w:r>
          </w:p>
        </w:tc>
        <w:tc>
          <w:tcPr/>
          <w:p>
            <w:r>
              <w:t>92,000</w:t>
            </w:r>
          </w:p>
        </w:tc>
      </w:tr>
      <w:tr>
        <w:tc>
          <w:tcPr>
            <w:shd w:val="clear" w:color="auto" w:fill="FFF2CC"/>
          </w:tcPr>
          <w:p>
            <w:r>
              <w:t>B 组</w:t>
            </w:r>
          </w:p>
        </w:tc>
        <w:tc>
          <w:tcPr/>
          <w:p>
            <w:r>
              <w:t>98,000</w:t>
            </w:r>
          </w:p>
        </w:tc>
        <w:tc>
          <w:tcPr/>
          <w:p>
            <w:r>
              <w:t>65,000</w:t>
            </w:r>
          </w:p>
        </w:tc>
        <w:tc>
          <w:tcPr/>
          <w:p>
            <w:r>
              <w:t>112,000</w:t>
            </w:r>
          </w:p>
        </w:tc>
        <w:tc>
          <w:tcPr/>
          <w:p>
            <w:r>
              <w:t>78,000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</w:rPr>
        <w:t>跨行测试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vMerge w:val="restart"/>
            <w:tcW w:w="1500" w:type="dxa"/>
            <w:shd w:val="clear" w:color="auto" w:fill="4472C4"/>
          </w:tcPr>
          <w:p>
            <w:r>
              <w:rPr>
                <w:color w:val="FFFFFF"/>
              </w:rPr>
              <w:t>姓名</w:t>
            </w:r>
          </w:p>
        </w:tc>
        <w:tc>
          <w:tcPr>
            <w:gridSpan w:val="2"/>
            <w:shd w:val="clear" w:color="auto" w:fill="4472C4"/>
          </w:tcPr>
          <w:p>
            <w:r>
              <w:rPr>
                <w:color w:val="FFFFFF"/>
              </w:rPr>
              <w:t>基本信息</w:t>
            </w:r>
          </w:p>
        </w:tc>
        <w:tc>
          <w:tcPr>
            <w:vMerge w:val="restart"/>
            <w:tcW w:w="1800" w:type="dxa"/>
            <w:shd w:val="clear" w:color="auto" w:fill="4472C4"/>
          </w:tcPr>
          <w:p>
            <w:r>
              <w:rPr>
                <w:color w:val="FFFFFF"/>
              </w:rPr>
              <w:t>备注</w:t>
            </w:r>
          </w:p>
        </w:tc>
      </w:tr>
      <w:tr>
        <w:tc>
          <w:tcPr>
            <w:vMerge/>
          </w:tcPr>
          <w:p/>
        </w:tc>
        <w:tc>
          <w:tcPr>
            <w:shd w:val="clear" w:color="auto" w:fill="D6E4F0"/>
          </w:tcPr>
          <w:p>
            <w:r>
              <w:t>部门</w:t>
            </w:r>
          </w:p>
        </w:tc>
        <w:tc>
          <w:tcPr>
            <w:shd w:val="clear" w:color="auto" w:fill="D6E4F0"/>
          </w:tcPr>
          <w:p>
            <w:r>
              <w:t>职位</w:t>
            </w:r>
          </w:p>
        </w:tc>
        <w:tc>
          <w:tcPr>
            <w:vMerge/>
          </w:tcPr>
          <w:p/>
        </w:tc>
      </w:tr>
      <w:tr>
        <w:tc>
          <w:tcPr/>
          <w:p>
            <w:r>
              <w:t>张三</w:t>
            </w:r>
          </w:p>
        </w:tc>
        <w:tc>
          <w:tcPr/>
          <w:p>
            <w:r>
              <w:t>技术部</w:t>
            </w:r>
          </w:p>
        </w:tc>
        <w:tc>
          <w:tcPr/>
          <w:p>
            <w:r>
              <w:t>高级工程师</w:t>
            </w:r>
          </w:p>
        </w:tc>
        <w:tc>
          <w:tcPr>
            <w:vMerge w:val="restart"/>
            <w:shd w:val="clear" w:color="auto" w:fill="E2EFDA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r>
              <w:t>核心成员</w:t>
            </w:r>
          </w:p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2667000" cy="2667000"/>
                  <wp:effectExtent l="0" t="0" r="0" b="0"/>
                  <wp:docPr id="1" name="imag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r>
              <w:t>李四</w:t>
            </w:r>
          </w:p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1685925" cy="168592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r>
              <w:t>市场部</w:t>
            </w:r>
          </w:p>
        </w:tc>
        <w:tc>
          <w:tcPr/>
          <w:p>
            <w:r>
              <w:t>市场总监</w:t>
            </w:r>
          </w:p>
        </w:tc>
        <w:tc>
          <w:tcPr>
            <w:vMerge/>
          </w:tcPr>
          <w:p/>
        </w:tc>
      </w:tr>
    </w:tbl>
    <w:p>
      <w:r>
        <w:rPr>
          <w:noProof/>
        </w:rPr>
        <w:drawing>
          <wp:inline xmlns:wp="http://schemas.openxmlformats.org/drawingml/2006/wordprocessingDrawing" distT="0" distB="0" distL="0" distR="0">
            <wp:extent cx="2667000" cy="266700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1743075" cy="235267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 w:after="20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360" w:after="1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8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40" w:after="8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80"/>
      <w:outlineLvl w:val="4"/>
    </w:pPr>
    <w:rPr>
      <w:b/>
      <w:bCs/>
      <w:sz w:val="22"/>
      <w:szCs w:val="22"/>
    </w:rPr>
  </w:style>
  <w:style w:type="character" w:styleId="Heading1Char">
    <w:name w:val="Heading 1 Char"/>
    <w:link w:val="Heading1"/>
    <w:uiPriority w:val="9"/>
    <w:rPr>
      <w:b/>
      <w:bCs/>
      <w:sz w:val="44"/>
      <w:szCs w:val="44"/>
    </w:rPr>
  </w:style>
  <w:style w:type="character" w:styleId="Heading2Char">
    <w:name w:val="Heading 2 Char"/>
    <w:link w:val="Heading2"/>
    <w:uiPriority w:val="9"/>
    <w:rPr>
      <w:b/>
      <w:bCs/>
      <w:sz w:val="32"/>
      <w:szCs w:val="32"/>
    </w:rPr>
  </w:style>
  <w:style w:type="character" w:styleId="Heading3Char">
    <w:name w:val="Heading 3 Char"/>
    <w:link w:val="Heading3"/>
    <w:uiPriority w:val="9"/>
    <w:rPr>
      <w:b/>
      <w:bCs/>
      <w:sz w:val="28"/>
      <w:szCs w:val="28"/>
    </w:rPr>
  </w:style>
  <w:style w:type="character" w:styleId="Heading4Char">
    <w:name w:val="Heading 4 Char"/>
    <w:link w:val="Heading4"/>
    <w:uiPriority w:val="9"/>
    <w:rPr>
      <w:b/>
      <w:bCs/>
      <w:sz w:val="24"/>
      <w:szCs w:val="24"/>
    </w:rPr>
  </w:style>
  <w:style w:type="character" w:styleId="Heading5Char">
    <w:name w:val="Heading 5 Char"/>
    <w:link w:val="Heading5"/>
    <w:uiPriority w:val="9"/>
    <w:rPr>
      <w:b/>
      <w:bCs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image0.jpg"/><Relationship Id="rId101" Type="http://schemas.openxmlformats.org/officeDocument/2006/relationships/image" Target="media/image1.jpg"/><Relationship Id="rId102" Type="http://schemas.openxmlformats.org/officeDocument/2006/relationships/image" Target="media/image2.jpg"/><Relationship Id="rId103" Type="http://schemas.openxmlformats.org/officeDocument/2006/relationships/image" Target="media/image3.png"/></Relationships>
</file>