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Times New Roman" w:hAnsi="Times New Roman" w:eastAsia="宋体"/>
          <w:b/>
          <w:sz w:val="32"/>
        </w:rPr>
        <w:t>数据模型总览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8"/>
        </w:rPr>
        <w:t>一、Key 设计总表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1"/>
        </w:rPr>
        <w:t>系统共设计 18 个 Redis Key，按「业务对象:标识:属性」的方式命名，覆盖 String、Hash、List、Set、Sorted Set、Stream、HyperLogLog 七种数据类型。选型的共同原则是按数据的访问方式与生命周期选择结构，而非将所有数据统一存入 String 或 Hash。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b/>
          <w:sz w:val="20"/>
        </w:rPr>
        <w:t>表 3-1  Redis Key 设计总表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1190"/>
        <w:gridCol w:w="2438"/>
        <w:gridCol w:w="1927"/>
        <w:gridCol w:w="963"/>
      </w:tblGrid>
      <w:tr>
        <w:trPr>
          <w:tblHeader w:val="true"/>
        </w:trPr>
        <w:tc>
          <w:tcPr>
            <w:tcW w:type="dxa" w:w="2551"/>
            <w:shd w:val="clear" w:color="auto" w:fill="E8EE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Key 模式</w:t>
            </w:r>
          </w:p>
        </w:tc>
        <w:tc>
          <w:tcPr>
            <w:tcW w:type="dxa" w:w="1191"/>
            <w:shd w:val="clear" w:color="auto" w:fill="E8EE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数据类型</w:t>
            </w:r>
          </w:p>
        </w:tc>
        <w:tc>
          <w:tcPr>
            <w:tcW w:type="dxa" w:w="2438"/>
            <w:shd w:val="clear" w:color="auto" w:fill="E8EE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存储内容</w:t>
            </w:r>
          </w:p>
        </w:tc>
        <w:tc>
          <w:tcPr>
            <w:tcW w:type="dxa" w:w="1928"/>
            <w:shd w:val="clear" w:color="auto" w:fill="E8EE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关键操作</w:t>
            </w:r>
          </w:p>
        </w:tc>
        <w:tc>
          <w:tcPr>
            <w:tcW w:type="dxa" w:w="964"/>
            <w:shd w:val="clear" w:color="auto" w:fill="E8EE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所属模块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parcel:id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String</w:t>
            </w:r>
          </w:p>
        </w:tc>
        <w:tc>
          <w:tcPr>
            <w:tcW w:type="dxa" w:w="2438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包裹自增序号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INCR</w:t>
            </w:r>
          </w:p>
        </w:tc>
        <w:tc>
          <w:tcPr>
            <w:tcW w:type="dxa" w:w="96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模块1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parcel:{包裹编号}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Hash</w:t>
            </w:r>
          </w:p>
        </w:tc>
        <w:tc>
          <w:tcPr>
            <w:tcW w:type="dxa" w:w="2438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包裹全部字段（单号、快递公司、收件人、货架、状态、时间等 20 余项）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HSET / HGETALL / HINCRBY</w:t>
            </w:r>
          </w:p>
        </w:tc>
        <w:tc>
          <w:tcPr>
            <w:tcW w:type="dxa" w:w="96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模块1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user:{学号}:parcels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Set</w:t>
            </w:r>
          </w:p>
        </w:tc>
        <w:tc>
          <w:tcPr>
            <w:tcW w:type="dxa" w:w="2438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用户名下全部包裹编号，天然去重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SADD / SREM / SMEMBERS / SCARD</w:t>
            </w:r>
          </w:p>
        </w:tc>
        <w:tc>
          <w:tcPr>
            <w:tcW w:type="dxa" w:w="96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模块1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parcels:status:{状态}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Set</w:t>
            </w:r>
          </w:p>
        </w:tc>
        <w:tc>
          <w:tcPr>
            <w:tcW w:type="dxa" w:w="2438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按状态划分的包裹索引（PENDING / PICKED / EXPIRED / ABNORMAL）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SADD / SREM / SCARD</w:t>
            </w:r>
          </w:p>
        </w:tc>
        <w:tc>
          <w:tcPr>
            <w:tcW w:type="dxa" w:w="96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模块1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parcels:stay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Sorted Set</w:t>
            </w:r>
          </w:p>
        </w:tc>
        <w:tc>
          <w:tcPr>
            <w:tcW w:type="dxa" w:w="2438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滞留包裹，score 为入库时间戳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ZADD / ZREM / ZRANGE / ZRANGEBYSCORE</w:t>
            </w:r>
          </w:p>
        </w:tc>
        <w:tc>
          <w:tcPr>
            <w:tcW w:type="dxa" w:w="96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模块1、3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rank:user:parcels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Sorted Set</w:t>
            </w:r>
          </w:p>
        </w:tc>
        <w:tc>
          <w:tcPr>
            <w:tcW w:type="dxa" w:w="2438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用户包裹数排行，score 为件数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ZINCRBY / ZREVRANGE</w:t>
            </w:r>
          </w:p>
        </w:tc>
        <w:tc>
          <w:tcPr>
            <w:tcW w:type="dxa" w:w="96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模块1、3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pickup:code:{取件码}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String + TTL</w:t>
            </w:r>
          </w:p>
        </w:tc>
        <w:tc>
          <w:tcPr>
            <w:tcW w:type="dxa" w:w="2438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取件码 → 包裹编号映射，TTL 3 天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SET NX EX / GET / TTL / DEL</w:t>
            </w:r>
          </w:p>
        </w:tc>
        <w:tc>
          <w:tcPr>
            <w:tcW w:type="dxa" w:w="96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模块2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pickup:used:{取件码}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String + TTL</w:t>
            </w:r>
          </w:p>
        </w:tc>
        <w:tc>
          <w:tcPr>
            <w:tcW w:type="dxa" w:w="2438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已核销标记，TTL 10 分钟，用于重复取件提示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SET EX / GET</w:t>
            </w:r>
          </w:p>
        </w:tc>
        <w:tc>
          <w:tcPr>
            <w:tcW w:type="dxa" w:w="96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模块2、4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parcel:{包裹编号}:code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String + TTL</w:t>
            </w:r>
          </w:p>
        </w:tc>
        <w:tc>
          <w:tcPr>
            <w:tcW w:type="dxa" w:w="2438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包裹 → 当前取件码反向索引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SET EX / GET / DEL</w:t>
            </w:r>
          </w:p>
        </w:tc>
        <w:tc>
          <w:tcPr>
            <w:tcW w:type="dxa" w:w="96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模块2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user:{学号}:pickups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List</w:t>
            </w:r>
          </w:p>
        </w:tc>
        <w:tc>
          <w:tcPr>
            <w:tcW w:type="dxa" w:w="2438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取件历史，最新在前，LTRIM 保留 50 条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LPUSH / LTRIM / LRANGE</w:t>
            </w:r>
          </w:p>
        </w:tc>
        <w:tc>
          <w:tcPr>
            <w:tcW w:type="dxa" w:w="96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模块2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pickup:stream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Stream</w:t>
            </w:r>
          </w:p>
        </w:tc>
        <w:tc>
          <w:tcPr>
            <w:tcW w:type="dxa" w:w="2438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取件事件追加日志，MAXLEN ~ 10000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XADD / XREVRANGE</w:t>
            </w:r>
          </w:p>
        </w:tc>
        <w:tc>
          <w:tcPr>
            <w:tcW w:type="dxa" w:w="96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模块2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stats:status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Hash</w:t>
            </w:r>
          </w:p>
        </w:tc>
        <w:tc>
          <w:tcPr>
            <w:tcW w:type="dxa" w:w="2438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各状态包裹数量计数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HINCRBY / HGETALL</w:t>
            </w:r>
          </w:p>
        </w:tc>
        <w:tc>
          <w:tcPr>
            <w:tcW w:type="dxa" w:w="96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模块1、3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stats:daily:{日期}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Hash</w:t>
            </w:r>
          </w:p>
        </w:tc>
        <w:tc>
          <w:tcPr>
            <w:tcW w:type="dxa" w:w="2438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每日入库量、取件量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HINCRBY / HGETALL</w:t>
            </w:r>
          </w:p>
        </w:tc>
        <w:tc>
          <w:tcPr>
            <w:tcW w:type="dxa" w:w="96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模块3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stats:pickup_users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HyperLogLog</w:t>
            </w:r>
          </w:p>
        </w:tc>
        <w:tc>
          <w:tcPr>
            <w:tcW w:type="dxa" w:w="2438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去重取件人数，固定约 12KB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PFADD / PFCOUNT</w:t>
            </w:r>
          </w:p>
        </w:tc>
        <w:tc>
          <w:tcPr>
            <w:tcW w:type="dxa" w:w="96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模块2、3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blacklist:users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Set</w:t>
            </w:r>
          </w:p>
        </w:tc>
        <w:tc>
          <w:tcPr>
            <w:tcW w:type="dxa" w:w="2438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黑名单学号集合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SADD / SREM / SISMEMBER</w:t>
            </w:r>
          </w:p>
        </w:tc>
        <w:tc>
          <w:tcPr>
            <w:tcW w:type="dxa" w:w="96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模块4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station:queue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List</w:t>
            </w:r>
          </w:p>
        </w:tc>
        <w:tc>
          <w:tcPr>
            <w:tcW w:type="dxa" w:w="2438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取件高峰排队队列，先进先出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RPUSH / LPOP / LREM / LLEN / LPOS</w:t>
            </w:r>
          </w:p>
        </w:tc>
        <w:tc>
          <w:tcPr>
            <w:tcW w:type="dxa" w:w="96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模块4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station:queue:serving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String</w:t>
            </w:r>
          </w:p>
        </w:tc>
        <w:tc>
          <w:tcPr>
            <w:tcW w:type="dxa" w:w="2438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当前叫号学号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SET / GET</w:t>
            </w:r>
          </w:p>
        </w:tc>
        <w:tc>
          <w:tcPr>
            <w:tcW w:type="dxa" w:w="96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模块4</w:t>
            </w:r>
          </w:p>
        </w:tc>
      </w:tr>
      <w:tr>
        <w:tc>
          <w:tcPr>
            <w:tcW w:type="dxa" w:w="2551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overdue:alerts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Sorted Set</w:t>
            </w:r>
          </w:p>
        </w:tc>
        <w:tc>
          <w:tcPr>
            <w:tcW w:type="dxa" w:w="2438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超期未取提醒，score 为入库时间戳</w:t>
            </w:r>
          </w:p>
        </w:tc>
        <w:tc>
          <w:tcPr>
            <w:tcW w:type="dxa" w:w="1928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ZADD / ZRANGE</w:t>
            </w:r>
          </w:p>
        </w:tc>
        <w:tc>
          <w:tcPr>
            <w:tcW w:type="dxa" w:w="96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模块4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Times New Roman" w:hAnsi="Times New Roman" w:eastAsia="宋体"/>
          <w:b/>
          <w:sz w:val="28"/>
        </w:rPr>
        <w:t>二、数据类型覆盖汇总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1"/>
        </w:rPr>
        <w:t>从类型维度看，七种非结构化数据结构的职责划分清晰：String 承担单值与短生命周期映射，Hash 承担对象与计数，Set 承担去重与索引，Sorted Set 承担排序类查询，List 承担有序序列，Stream 承担事件日志，HyperLogLog 承担基数估算。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b/>
          <w:sz w:val="20"/>
        </w:rPr>
        <w:t>表 3-2  数据类型覆盖汇总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1020"/>
        <w:gridCol w:w="3402"/>
        <w:gridCol w:w="3061"/>
      </w:tblGrid>
      <w:tr>
        <w:trPr>
          <w:tblHeader w:val="true"/>
        </w:trPr>
        <w:tc>
          <w:tcPr>
            <w:tcW w:type="dxa" w:w="1587"/>
            <w:shd w:val="clear" w:color="auto" w:fill="E8EE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数据类型</w:t>
            </w:r>
          </w:p>
        </w:tc>
        <w:tc>
          <w:tcPr>
            <w:tcW w:type="dxa" w:w="1020"/>
            <w:shd w:val="clear" w:color="auto" w:fill="E8EE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Key 数量</w:t>
            </w:r>
          </w:p>
        </w:tc>
        <w:tc>
          <w:tcPr>
            <w:tcW w:type="dxa" w:w="3402"/>
            <w:shd w:val="clear" w:color="auto" w:fill="E8EE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典型用途</w:t>
            </w:r>
          </w:p>
        </w:tc>
        <w:tc>
          <w:tcPr>
            <w:tcW w:type="dxa" w:w="3061"/>
            <w:shd w:val="clear" w:color="auto" w:fill="E8EE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关键优势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String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自增序号、取件码、当前叫号</w:t>
            </w:r>
          </w:p>
        </w:tc>
        <w:tc>
          <w:tcPr>
            <w:tcW w:type="dxa" w:w="3061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单值读写 O(1)，配合 TTL 自动过期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Hash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包裹详情、状态计数、每日统计</w:t>
            </w:r>
          </w:p>
        </w:tc>
        <w:tc>
          <w:tcPr>
            <w:tcW w:type="dxa" w:w="3061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字段级原子增减，避免整体读出再写回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Set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用户包裹、状态索引、黑名单</w:t>
            </w:r>
          </w:p>
        </w:tc>
        <w:tc>
          <w:tcPr>
            <w:tcW w:type="dxa" w:w="3061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去重与成员判断 O(1)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Sorted Set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滞留榜、用户件数榜、超期提醒</w:t>
            </w:r>
          </w:p>
        </w:tc>
        <w:tc>
          <w:tcPr>
            <w:tcW w:type="dxa" w:w="3061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按分值排序，TopN 查询 O(log N + M)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List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取件历史、排队队列</w:t>
            </w:r>
          </w:p>
        </w:tc>
        <w:tc>
          <w:tcPr>
            <w:tcW w:type="dxa" w:w="3061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头尾操作 O(1)，天然表达先后顺序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Stream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取件事件日志</w:t>
            </w:r>
          </w:p>
        </w:tc>
        <w:tc>
          <w:tcPr>
            <w:tcW w:type="dxa" w:w="3061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追加写、按 ID 回溯、支持消费组</w:t>
            </w:r>
          </w:p>
        </w:tc>
      </w:tr>
      <w:tr>
        <w:tc>
          <w:tcPr>
            <w:tcW w:type="dxa" w:w="1587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b w:val="0"/>
                <w:sz w:val="17"/>
              </w:rPr>
              <w:t>HyperLogLog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去重取件人数</w:t>
            </w:r>
          </w:p>
        </w:tc>
        <w:tc>
          <w:tcPr>
            <w:tcW w:type="dxa" w:w="3061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约 12KB 固定内存，误差 0.81%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宋体"/>
          <w:b/>
          <w:sz w:val="28"/>
        </w:rPr>
        <w:t>三、Key 之间的关系与一致性保证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1"/>
        </w:rPr>
        <w:t>以上 18 个 Key 之间存在明确的引用关系：包裹 Hash 是唯一数据源，其余 Set、ZSet、List 均为面向查询的索引或统计。为避免出现「状态已改、索引未改」的不一致，凡是涉及多个 Key 的写操作（入库、状态变更、取件、删除）统一使用 pipeline(transaction=True) 提交，一次网络往返完成，由 Redis 事务保证原子性。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1"/>
        </w:rPr>
        <w:t>取件码、已核销标记、每日统计等具有生命周期的 Key 通过 TTL 自动回收，不需要额外的清理任务；滞留榜与超期提醒共用同一份时间戳作为 score，因此「超期」不再是独立计算的业务规则，而是一次按分值区间查询的结果，逻辑与数据始终一致。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