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0"/>
          <w:szCs w:val="20"/>
        </w:rPr>
        <w:t xml:space="preserve">[MBC 미디어캠퍼스] AI 기반 데이터 저널리스트 양성 과정</w:t>
      </w:r>
    </w:p>
    <w:p>
      <w:pPr>
        <w:spacing w:after="200"/>
      </w:pPr>
      <w:r>
        <w:rPr>
          <w:b/>
          <w:bCs/>
          <w:color w:val="1F3864"/>
          <w:sz w:val="40"/>
          <w:szCs w:val="40"/>
        </w:rPr>
        <w:t xml:space="preserve">데이터 분석 실습 가이드</w:t>
      </w:r>
    </w:p>
    <w:p>
      <w:pPr>
        <w:spacing w:after="100"/>
      </w:pPr>
      <w:r>
        <w:rPr>
          <w:b/>
          <w:bCs/>
          <w:color w:val="444444"/>
          <w:sz w:val="26"/>
          <w:szCs w:val="26"/>
        </w:rPr>
        <w:t xml:space="preserve">국가통계포털(KOSIS) 활용 지역통계 분석 실습</w:t>
      </w:r>
    </w:p>
    <w:p>
      <w:pPr>
        <w:pBdr>
          <w:left w:val="single" w:color="C0510A" w:sz="18" w:space="6"/>
        </w:pBdr>
        <w:shd w:fill="FFF3E0" w:val="clear"/>
        <w:spacing w:after="160"/>
        <w:ind w:left="120"/>
      </w:pPr>
      <w:r>
        <w:rPr>
          <w:i/>
          <w:iCs/>
          <w:color w:val="5C3A00"/>
          <w:sz w:val="20"/>
          <w:szCs w:val="20"/>
        </w:rPr>
        <w:t xml:space="preserve">이 자료는 특정 주차용으로 확정된 자료가 아니라, 공공데이터 실습(에어코리아·기상청)에 이어 국가통계포털(KOSIS)을 활용한 데이터 분석 실습 사례를 모은 자료입니다. 인구·고령화, 고용·실업률, 1인가구 비중 추세, 청년층 수도권 순유출, 지역별 1인당 GRDP 격차 다섯 가지 지역격차 주제를 다루며, 실제 행정구역 개편(2026년 7월 전남·광주 통합, 강원·전북 명칭 변경) 대응 과정과 “공개 통계 vs API 직접 수집”이라는 방법론 비교, “생산 지표(GRDP) vs 소득 지표(GRNI)”라는 지표 선택의 함정까지 포함되어 있습니다. 실제 주차 배치는 추후 별도로 결정합니다.</w:t>
      </w:r>
    </w:p>
    <w:p>
      <w:pPr>
        <w:pStyle w:val="Heading1"/>
        <w:pBdr>
          <w:bottom w:val="single" w:color="1F3864" w:sz="8" w:space="4"/>
        </w:pBdr>
        <w:spacing w:after="160" w:before="360"/>
      </w:pPr>
      <w:r>
        <w:rPr>
          <w:b/>
          <w:bCs/>
          <w:color w:val="1F3864"/>
          <w:sz w:val="30"/>
          <w:szCs w:val="30"/>
        </w:rPr>
        <w:t xml:space="preserve">1. 이 실습의 목적</w:t>
      </w:r>
    </w:p>
    <w:p>
      <w:pPr>
        <w:spacing w:after="120"/>
      </w:pPr>
      <w:r>
        <w:rPr>
          <w:sz w:val="21"/>
          <w:szCs w:val="21"/>
        </w:rPr>
        <w:t xml:space="preserve">미세먼지 실습이 실시간 센서 데이터(에어코리아·기상청)를 다뤘다면, 이번 실습은 정부가 직접 검증해 발표하는 국가승인통계(KOSIS)를 다룹니다. 같은 “공공데이터 API 활용”이라도 데이터 성격이 다르면 실무에서 마주치는 문제와 “정제”의 의미 자체가 달라진다는 것을 비교 체험하는 것이 이 실습의 핵심 목표입니다.</w:t>
      </w:r>
    </w:p>
    <w:p>
      <w:pPr>
        <w:spacing w:after="120"/>
      </w:pPr>
      <w:r>
        <w:rPr>
          <w:sz w:val="21"/>
          <w:szCs w:val="21"/>
        </w:rPr>
        <w:t xml:space="preserve">국가통계포털(KOSIS)에서 시도 단위 인구·고령화 데이터와 고용·실업률 데이터를 API로 직접 수집하여, 지역 간 격차를 분석하고 시각화(막대그래프·산점도·지도)까지 진행합니다.</w:t>
      </w:r>
    </w:p>
    <w:p>
      <w:pPr>
        <w:pStyle w:val="Heading2"/>
        <w:spacing w:after="120" w:before="280"/>
      </w:pPr>
      <w:r>
        <w:rPr>
          <w:b/>
          <w:bCs/>
          <w:color w:val="1F3864"/>
          <w:sz w:val="24"/>
          <w:szCs w:val="24"/>
        </w:rPr>
        <w:t xml:space="preserve">이 실습에서 얻어가는 핵심 교훈</w:t>
      </w:r>
    </w:p>
    <w:p>
      <w:pPr>
        <w:pStyle w:val="ListParagraph"/>
        <w:numPr>
          <w:ilvl w:val="0"/>
          <w:numId w:val="2"/>
        </w:numPr>
        <w:spacing w:after="60"/>
      </w:pPr>
      <w:r>
        <w:rPr>
          <w:sz w:val="21"/>
          <w:szCs w:val="21"/>
        </w:rPr>
        <w:t xml:space="preserve">단일 상관계수만 보고 “관계없음”이라 단정하면 안 된다 — 미세먼지(상한효과), 인구(약한 상관관계), 고용(실업률의 맹점) 세 실습에서 모두 확인된 공통 교훈이다.</w:t>
      </w:r>
    </w:p>
    <w:p>
      <w:pPr>
        <w:pStyle w:val="ListParagraph"/>
        <w:numPr>
          <w:ilvl w:val="0"/>
          <w:numId w:val="2"/>
        </w:numPr>
        <w:spacing w:after="60"/>
      </w:pPr>
      <w:r>
        <w:rPr>
          <w:sz w:val="21"/>
          <w:szCs w:val="21"/>
        </w:rPr>
        <w:t xml:space="preserve">“정제”는 데이터 출처에 따라 다른 형태로 나타난다 — 센서 데이터는 결측치 처리가 핵심이고, 정부 통계는 코드 체계 해석·행정구역 개편 대응이 핵심이다.</w:t>
      </w:r>
    </w:p>
    <w:p>
      <w:pPr>
        <w:pStyle w:val="ListParagraph"/>
        <w:numPr>
          <w:ilvl w:val="0"/>
          <w:numId w:val="2"/>
        </w:numPr>
        <w:spacing w:after="60"/>
      </w:pPr>
      <w:r>
        <w:rPr>
          <w:sz w:val="21"/>
          <w:szCs w:val="21"/>
        </w:rPr>
        <w:t xml:space="preserve">같은 행정구역 개편이라도 통계표마다 반영 방식이 다를 수 있다 — “깨끗한 전환”과 “신·구 방식 병존”을 실제로 비교 확인했다.</w:t>
      </w:r>
    </w:p>
    <w:p>
      <w:pPr>
        <w:pStyle w:val="ListParagraph"/>
        <w:numPr>
          <w:ilvl w:val="0"/>
          <w:numId w:val="2"/>
        </w:numPr>
        <w:spacing w:after="60"/>
      </w:pPr>
      <w:r>
        <w:rPr>
          <w:sz w:val="21"/>
          <w:szCs w:val="21"/>
        </w:rPr>
        <w:t xml:space="preserve">지도 시각화에 쓰는 경계 데이터와 최신 통계 데이터의 지역명이 시간차로 어긋날 수 있다 — 반드시 매핑 확인이 필요하다.</w:t>
      </w:r>
    </w:p>
    <w:p>
      <w:pPr>
        <w:pStyle w:val="Heading1"/>
        <w:pBdr>
          <w:bottom w:val="single" w:color="1F3864" w:sz="8" w:space="4"/>
        </w:pBdr>
        <w:spacing w:after="160" w:before="360"/>
      </w:pPr>
      <w:r>
        <w:rPr>
          <w:b/>
          <w:bCs/>
          <w:color w:val="1F3864"/>
          <w:sz w:val="30"/>
          <w:szCs w:val="30"/>
        </w:rPr>
        <w:t xml:space="preserve">2. 실습 개요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val="clear"/>
            <w:tcMar>
              <w:top w:type="dxa" w:w="80"/>
              <w:left w:type="dxa" w:w="120"/>
              <w:bottom w:type="dxa" w:w="80"/>
              <w:right w:type="dxa" w:w="120"/>
            </w:tcMar>
            <w:vAlign w:val="center"/>
          </w:tcPr>
          <w:p>
            <w:pPr>
              <w:jc w:val="left"/>
            </w:pPr>
            <w:r>
              <w:rPr>
                <w:b/>
                <w:bCs/>
                <w:color w:val="FFFFFF"/>
                <w:sz w:val="19"/>
                <w:szCs w:val="19"/>
              </w:rPr>
              <w:t xml:space="preserve">항목</w:t>
            </w:r>
          </w:p>
        </w:tc>
        <w:tc>
          <w:tcPr>
            <w:tcW w:type="dxa" w:w="7438"/>
            <w:shd w:fill="1F3864" w:val="clear"/>
            <w:tcMar>
              <w:top w:type="dxa" w:w="80"/>
              <w:left w:type="dxa" w:w="120"/>
              <w:bottom w:type="dxa" w:w="80"/>
              <w:right w:type="dxa" w:w="120"/>
            </w:tcMar>
            <w:vAlign w:val="center"/>
          </w:tcPr>
          <w:p>
            <w:pPr>
              <w:jc w:val="left"/>
            </w:pPr>
            <w:r>
              <w:rPr>
                <w:b/>
                <w:bCs/>
                <w:color w:val="FFFFFF"/>
                <w:sz w:val="19"/>
                <w:szCs w:val="19"/>
              </w:rPr>
              <w:t xml:space="preserve">내용</w:t>
            </w:r>
          </w:p>
        </w:tc>
      </w:tr>
      <w:tr>
        <w:tc>
          <w:tcPr>
            <w:tcW w:type="dxa" w:w="2200"/>
            <w:shd w:fill="FFFFFF" w:val="clear"/>
            <w:tcMar>
              <w:top w:type="dxa" w:w="70"/>
              <w:left w:type="dxa" w:w="120"/>
              <w:bottom w:type="dxa" w:w="70"/>
              <w:right w:type="dxa" w:w="120"/>
            </w:tcMar>
            <w:vAlign w:val="center"/>
          </w:tcPr>
          <w:p>
            <w:r>
              <w:rPr>
                <w:sz w:val="19"/>
                <w:szCs w:val="19"/>
              </w:rPr>
              <w:t xml:space="preserve">데이터 출처</w:t>
            </w:r>
          </w:p>
        </w:tc>
        <w:tc>
          <w:tcPr>
            <w:tcW w:type="dxa" w:w="7438"/>
            <w:shd w:fill="FFFFFF" w:val="clear"/>
            <w:tcMar>
              <w:top w:type="dxa" w:w="70"/>
              <w:left w:type="dxa" w:w="120"/>
              <w:bottom w:type="dxa" w:w="70"/>
              <w:right w:type="dxa" w:w="120"/>
            </w:tcMar>
            <w:vAlign w:val="center"/>
          </w:tcPr>
          <w:p>
            <w:r>
              <w:rPr>
                <w:sz w:val="19"/>
                <w:szCs w:val="19"/>
              </w:rPr>
              <w:t xml:space="preserve">국가통계포털 KOSIS 공유서비스(Open API) — 운영기관: 국가데이터처(옛 통계청)</w:t>
            </w:r>
          </w:p>
        </w:tc>
      </w:tr>
      <w:tr>
        <w:tc>
          <w:tcPr>
            <w:tcW w:type="dxa" w:w="2200"/>
            <w:shd w:fill="F2F2F2" w:val="clear"/>
            <w:tcMar>
              <w:top w:type="dxa" w:w="70"/>
              <w:left w:type="dxa" w:w="120"/>
              <w:bottom w:type="dxa" w:w="70"/>
              <w:right w:type="dxa" w:w="120"/>
            </w:tcMar>
            <w:vAlign w:val="center"/>
          </w:tcPr>
          <w:p>
            <w:r>
              <w:rPr>
                <w:sz w:val="19"/>
                <w:szCs w:val="19"/>
              </w:rPr>
              <w:t xml:space="preserve">실습①</w:t>
            </w:r>
          </w:p>
        </w:tc>
        <w:tc>
          <w:tcPr>
            <w:tcW w:type="dxa" w:w="7438"/>
            <w:shd w:fill="F2F2F2" w:val="clear"/>
            <w:tcMar>
              <w:top w:type="dxa" w:w="70"/>
              <w:left w:type="dxa" w:w="120"/>
              <w:bottom w:type="dxa" w:w="70"/>
              <w:right w:type="dxa" w:w="120"/>
            </w:tcMar>
            <w:vAlign w:val="center"/>
          </w:tcPr>
          <w:p>
            <w:r>
              <w:rPr>
                <w:sz w:val="19"/>
                <w:szCs w:val="19"/>
              </w:rPr>
              <w:t xml:space="preserve">인구·고령화 지역격차 — 시도별 총인구·성별 고령인구비율</w:t>
            </w:r>
          </w:p>
        </w:tc>
      </w:tr>
      <w:tr>
        <w:tc>
          <w:tcPr>
            <w:tcW w:type="dxa" w:w="2200"/>
            <w:shd w:fill="FFFFFF" w:val="clear"/>
            <w:tcMar>
              <w:top w:type="dxa" w:w="70"/>
              <w:left w:type="dxa" w:w="120"/>
              <w:bottom w:type="dxa" w:w="70"/>
              <w:right w:type="dxa" w:w="120"/>
            </w:tcMar>
            <w:vAlign w:val="center"/>
          </w:tcPr>
          <w:p>
            <w:r>
              <w:rPr>
                <w:sz w:val="19"/>
                <w:szCs w:val="19"/>
              </w:rPr>
              <w:t xml:space="preserve">실습②</w:t>
            </w:r>
          </w:p>
        </w:tc>
        <w:tc>
          <w:tcPr>
            <w:tcW w:type="dxa" w:w="7438"/>
            <w:shd w:fill="FFFFFF" w:val="clear"/>
            <w:tcMar>
              <w:top w:type="dxa" w:w="70"/>
              <w:left w:type="dxa" w:w="120"/>
              <w:bottom w:type="dxa" w:w="70"/>
              <w:right w:type="dxa" w:w="120"/>
            </w:tcMar>
            <w:vAlign w:val="center"/>
          </w:tcPr>
          <w:p>
            <w:r>
              <w:rPr>
                <w:sz w:val="19"/>
                <w:szCs w:val="19"/>
              </w:rPr>
              <w:t xml:space="preserve">고용·실업률 지역격차 — 시도별 고용률·실업률</w:t>
            </w:r>
          </w:p>
        </w:tc>
      </w:tr>
      <w:tr>
        <w:tc>
          <w:tcPr>
            <w:tcW w:type="dxa" w:w="2200"/>
            <w:shd w:fill="F2F2F2" w:val="clear"/>
            <w:tcMar>
              <w:top w:type="dxa" w:w="70"/>
              <w:left w:type="dxa" w:w="120"/>
              <w:bottom w:type="dxa" w:w="70"/>
              <w:right w:type="dxa" w:w="120"/>
            </w:tcMar>
            <w:vAlign w:val="center"/>
          </w:tcPr>
          <w:p>
            <w:r>
              <w:rPr>
                <w:sz w:val="19"/>
                <w:szCs w:val="19"/>
              </w:rPr>
              <w:t xml:space="preserve">실습③</w:t>
            </w:r>
          </w:p>
        </w:tc>
        <w:tc>
          <w:tcPr>
            <w:tcW w:type="dxa" w:w="7438"/>
            <w:shd w:fill="F2F2F2" w:val="clear"/>
            <w:tcMar>
              <w:top w:type="dxa" w:w="70"/>
              <w:left w:type="dxa" w:w="120"/>
              <w:bottom w:type="dxa" w:w="70"/>
              <w:right w:type="dxa" w:w="120"/>
            </w:tcMar>
            <w:vAlign w:val="center"/>
          </w:tcPr>
          <w:p>
            <w:r>
              <w:rPr>
                <w:sz w:val="19"/>
                <w:szCs w:val="19"/>
              </w:rPr>
              <w:t xml:space="preserve">1인가구 비중 추세 — 전국·시도별 1인가구 비중 변화(2015~2025)</w:t>
            </w:r>
          </w:p>
        </w:tc>
      </w:tr>
      <w:tr>
        <w:tc>
          <w:tcPr>
            <w:tcW w:type="dxa" w:w="2200"/>
            <w:shd w:fill="FFFFFF" w:val="clear"/>
            <w:tcMar>
              <w:top w:type="dxa" w:w="70"/>
              <w:left w:type="dxa" w:w="120"/>
              <w:bottom w:type="dxa" w:w="70"/>
              <w:right w:type="dxa" w:w="120"/>
            </w:tcMar>
            <w:vAlign w:val="center"/>
          </w:tcPr>
          <w:p>
            <w:r>
              <w:rPr>
                <w:sz w:val="19"/>
                <w:szCs w:val="19"/>
              </w:rPr>
              <w:t xml:space="preserve">실습④</w:t>
            </w:r>
          </w:p>
        </w:tc>
        <w:tc>
          <w:tcPr>
            <w:tcW w:type="dxa" w:w="7438"/>
            <w:shd w:fill="FFFFFF" w:val="clear"/>
            <w:tcMar>
              <w:top w:type="dxa" w:w="70"/>
              <w:left w:type="dxa" w:w="120"/>
              <w:bottom w:type="dxa" w:w="70"/>
              <w:right w:type="dxa" w:w="120"/>
            </w:tcMar>
            <w:vAlign w:val="center"/>
          </w:tcPr>
          <w:p>
            <w:r>
              <w:rPr>
                <w:sz w:val="19"/>
                <w:szCs w:val="19"/>
              </w:rPr>
              <w:t xml:space="preserve">청년층 수도권 순유출 — 공개 통계 vs KOSIS API 비교, 수도권·청년층 순이동 추세</w:t>
            </w:r>
          </w:p>
        </w:tc>
      </w:tr>
      <w:tr>
        <w:tc>
          <w:tcPr>
            <w:tcW w:type="dxa" w:w="2200"/>
            <w:shd w:fill="F2F2F2" w:val="clear"/>
            <w:tcMar>
              <w:top w:type="dxa" w:w="70"/>
              <w:left w:type="dxa" w:w="120"/>
              <w:bottom w:type="dxa" w:w="70"/>
              <w:right w:type="dxa" w:w="120"/>
            </w:tcMar>
            <w:vAlign w:val="center"/>
          </w:tcPr>
          <w:p>
            <w:r>
              <w:rPr>
                <w:sz w:val="19"/>
                <w:szCs w:val="19"/>
              </w:rPr>
              <w:t xml:space="preserve">실습⑤</w:t>
            </w:r>
          </w:p>
        </w:tc>
        <w:tc>
          <w:tcPr>
            <w:tcW w:type="dxa" w:w="7438"/>
            <w:shd w:fill="F2F2F2" w:val="clear"/>
            <w:tcMar>
              <w:top w:type="dxa" w:w="70"/>
              <w:left w:type="dxa" w:w="120"/>
              <w:bottom w:type="dxa" w:w="70"/>
              <w:right w:type="dxa" w:w="120"/>
            </w:tcMar>
            <w:vAlign w:val="center"/>
          </w:tcPr>
          <w:p>
            <w:r>
              <w:rPr>
                <w:sz w:val="19"/>
                <w:szCs w:val="19"/>
              </w:rPr>
              <w:t xml:space="preserve">지역별 1인당 GRDP 격차 — 생산지표(GRDP) vs 소득지표(GRNI) 비교, 순위 역전 분석</w:t>
            </w:r>
          </w:p>
        </w:tc>
      </w:tr>
      <w:tr>
        <w:tc>
          <w:tcPr>
            <w:tcW w:type="dxa" w:w="2200"/>
            <w:shd w:fill="FFFFFF" w:val="clear"/>
            <w:tcMar>
              <w:top w:type="dxa" w:w="70"/>
              <w:left w:type="dxa" w:w="120"/>
              <w:bottom w:type="dxa" w:w="70"/>
              <w:right w:type="dxa" w:w="120"/>
            </w:tcMar>
            <w:vAlign w:val="center"/>
          </w:tcPr>
          <w:p>
            <w:r>
              <w:rPr>
                <w:sz w:val="19"/>
                <w:szCs w:val="19"/>
              </w:rPr>
              <w:t xml:space="preserve">기준 시점</w:t>
            </w:r>
          </w:p>
        </w:tc>
        <w:tc>
          <w:tcPr>
            <w:tcW w:type="dxa" w:w="7438"/>
            <w:shd w:fill="FFFFFF" w:val="clear"/>
            <w:tcMar>
              <w:top w:type="dxa" w:w="70"/>
              <w:left w:type="dxa" w:w="120"/>
              <w:bottom w:type="dxa" w:w="70"/>
              <w:right w:type="dxa" w:w="120"/>
            </w:tcMar>
            <w:vAlign w:val="center"/>
          </w:tcPr>
          <w:p>
            <w:r>
              <w:rPr>
                <w:sz w:val="19"/>
                <w:szCs w:val="19"/>
              </w:rPr>
              <w:t xml:space="preserve">실습①·② 2026년 8월(최신월) / 실습③·④·⑤ 2015~2025년(연간·월간 시계열)</w:t>
            </w:r>
          </w:p>
        </w:tc>
      </w:tr>
      <w:tr>
        <w:tc>
          <w:tcPr>
            <w:tcW w:type="dxa" w:w="2200"/>
            <w:shd w:fill="F2F2F2" w:val="clear"/>
            <w:tcMar>
              <w:top w:type="dxa" w:w="70"/>
              <w:left w:type="dxa" w:w="120"/>
              <w:bottom w:type="dxa" w:w="70"/>
              <w:right w:type="dxa" w:w="120"/>
            </w:tcMar>
            <w:vAlign w:val="center"/>
          </w:tcPr>
          <w:p>
            <w:r>
              <w:rPr>
                <w:sz w:val="19"/>
                <w:szCs w:val="19"/>
              </w:rPr>
              <w:t xml:space="preserve">도구</w:t>
            </w:r>
          </w:p>
        </w:tc>
        <w:tc>
          <w:tcPr>
            <w:tcW w:type="dxa" w:w="7438"/>
            <w:shd w:fill="F2F2F2" w:val="clear"/>
            <w:tcMar>
              <w:top w:type="dxa" w:w="70"/>
              <w:left w:type="dxa" w:w="120"/>
              <w:bottom w:type="dxa" w:w="70"/>
              <w:right w:type="dxa" w:w="120"/>
            </w:tcMar>
            <w:vAlign w:val="center"/>
          </w:tcPr>
          <w:p>
            <w:r>
              <w:rPr>
                <w:sz w:val="19"/>
                <w:szCs w:val="19"/>
              </w:rPr>
              <w:t xml:space="preserve">Python(pandas, requests, matplotlib, folium) · Google Colab</w:t>
            </w:r>
          </w:p>
        </w:tc>
      </w:tr>
    </w:tbl>
    <w:p>
      <w:pPr>
        <w:pBdr>
          <w:left w:val="single" w:color="C0510A" w:sz="18" w:space="6"/>
        </w:pBdr>
        <w:shd w:fill="FFF3E0" w:val="clear"/>
        <w:spacing w:after="160"/>
        <w:ind w:left="120"/>
      </w:pPr>
      <w:r>
        <w:rPr>
          <w:i/>
          <w:iCs/>
          <w:color w:val="5C3A00"/>
          <w:sz w:val="20"/>
          <w:szCs w:val="20"/>
        </w:rPr>
        <w:t xml:space="preserve">data.go.kr(공공데이터포털)과 KOSIS는 서로 다른 포털입니다. 같은 “정부 공공데이터”라도 운영 기관과 인증키 발급 절차, 호출 방식이 다르므로 새로운 데이터 출처를 쓸 때는 반드시 해당 포털의 API 규격을 별도로 확인해야 합니다.</w:t>
      </w:r>
    </w:p>
    <w:p>
      <w:pPr>
        <w:pStyle w:val="Heading1"/>
        <w:pBdr>
          <w:bottom w:val="single" w:color="1F3864" w:sz="8" w:space="4"/>
        </w:pBdr>
        <w:spacing w:after="160" w:before="360"/>
      </w:pPr>
      <w:r>
        <w:rPr>
          <w:b/>
          <w:bCs/>
          <w:color w:val="1F3864"/>
          <w:sz w:val="30"/>
          <w:szCs w:val="30"/>
        </w:rPr>
        <w:t xml:space="preserve">3. 1단계 — KOSIS Open API 인증키 발급</w:t>
      </w:r>
    </w:p>
    <w:p>
      <w:pPr>
        <w:spacing w:after="120"/>
      </w:pPr>
      <w:r>
        <w:rPr>
          <w:sz w:val="21"/>
          <w:szCs w:val="21"/>
        </w:rPr>
        <w:t xml:space="preserve">KOSIS는 자체 Open API(공유서비스)를 제공하며, 절차는 공공데이터포털보다 단순합니다.</w:t>
      </w:r>
    </w:p>
    <w:p>
      <w:pPr>
        <w:pStyle w:val="ListParagraph"/>
        <w:numPr>
          <w:ilvl w:val="0"/>
          <w:numId w:val="2"/>
        </w:numPr>
        <w:spacing w:after="60"/>
      </w:pPr>
      <w:r>
        <w:rPr>
          <w:sz w:val="21"/>
          <w:szCs w:val="21"/>
        </w:rPr>
        <w:t xml:space="preserve">kosis.kr/openapi 접속 → 일반 회원가입 (무료)</w:t>
      </w:r>
    </w:p>
    <w:p>
      <w:pPr>
        <w:pStyle w:val="ListParagraph"/>
        <w:numPr>
          <w:ilvl w:val="0"/>
          <w:numId w:val="2"/>
        </w:numPr>
        <w:spacing w:after="60"/>
      </w:pPr>
      <w:r>
        <w:rPr>
          <w:sz w:val="21"/>
          <w:szCs w:val="21"/>
        </w:rPr>
        <w:t xml:space="preserve">Open API 메뉴에서 활용신청(사용목적·서비스명 입력) → 자동 승인, 신청 즉시 사용 가능</w:t>
      </w:r>
    </w:p>
    <w:p>
      <w:pPr>
        <w:pStyle w:val="ListParagraph"/>
        <w:numPr>
          <w:ilvl w:val="0"/>
          <w:numId w:val="2"/>
        </w:numPr>
        <w:spacing w:after="60"/>
      </w:pPr>
      <w:r>
        <w:rPr>
          <w:sz w:val="21"/>
          <w:szCs w:val="21"/>
        </w:rPr>
        <w:t xml:space="preserve">마이페이지 → 인증키 메뉴에서 키 확인</w:t>
      </w:r>
    </w:p>
    <w:p>
      <w:pPr>
        <w:pBdr>
          <w:left w:val="single" w:color="C0510A" w:sz="18" w:space="6"/>
        </w:pBdr>
        <w:shd w:fill="FFF3E0" w:val="clear"/>
        <w:spacing w:after="160"/>
        <w:ind w:left="120"/>
      </w:pPr>
      <w:r>
        <w:rPr>
          <w:i/>
          <w:iCs/>
          <w:color w:val="5C3A00"/>
          <w:sz w:val="20"/>
          <w:szCs w:val="20"/>
        </w:rPr>
        <w:t xml:space="preserve">인증키 끝에 “=” 문자가 붙는 경우가 있습니다. 복사 중 이 문자가 잘리면 인증 오류(401 등)가 발생하니 전체를 정확히 복사해야 합니다.</w:t>
      </w:r>
    </w:p>
    <w:p>
      <w:pPr>
        <w:pStyle w:val="Heading1"/>
        <w:pBdr>
          <w:bottom w:val="single" w:color="1F3864" w:sz="8" w:space="4"/>
        </w:pBdr>
        <w:spacing w:after="160" w:before="360"/>
      </w:pPr>
      <w:r>
        <w:rPr>
          <w:b/>
          <w:bCs/>
          <w:color w:val="1F3864"/>
          <w:sz w:val="30"/>
          <w:szCs w:val="30"/>
        </w:rPr>
        <w:t xml:space="preserve">4. 2단계 — 통계표(tblId) 탐색 방법</w:t>
      </w:r>
    </w:p>
    <w:p>
      <w:pPr>
        <w:spacing w:after="120"/>
      </w:pPr>
      <w:r>
        <w:rPr>
          <w:sz w:val="21"/>
          <w:szCs w:val="21"/>
        </w:rPr>
        <w:t xml:space="preserve">KOSIS는 통계표마다 고유한 orgId(기관ID)·tblId(통계표ID)가 있어야 정확한 데이터를 호출할 수 있습니다. 표 ID는 임의로 추측하지 않고, KOSIS 사이트(kosis.kr)에서 원하는 통계표를 직접 검색해 주소창 URL에서 확인하는 방식이 가장 정확합니다.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 통계 데이터 조회 API 공통 형식</w:t>
            </w:r>
          </w:p>
          <w:p>
            <w:pPr>
              <w:spacing w:after="0"/>
            </w:pPr>
            <w:r>
              <w:rPr>
                <w:rFonts w:ascii="Consolas" w:cs="Consolas" w:eastAsia="Consolas" w:hAnsi="Consolas"/>
                <w:color w:val="D4D4D4"/>
                <w:sz w:val="17"/>
                <w:szCs w:val="17"/>
              </w:rPr>
              <w:t xml:space="preserve">URL = https://kosis.kr/openapi/Param/statisticsParameterData.do</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필수 파라미터: method=getList, apiKey, orgId, tblId,</w:t>
            </w:r>
          </w:p>
          <w:p>
            <w:pPr>
              <w:spacing w:after="0"/>
            </w:pPr>
            <w:r>
              <w:rPr>
                <w:rFonts w:ascii="Consolas" w:cs="Consolas" w:eastAsia="Consolas" w:hAnsi="Consolas"/>
                <w:color w:val="D4D4D4"/>
                <w:sz w:val="17"/>
                <w:szCs w:val="17"/>
              </w:rPr>
              <w:t xml:space="preserve">               objL1~objL8(분류코드), itmId(항목), prdSe(수록주기),</w:t>
            </w:r>
          </w:p>
          <w:p>
            <w:pPr>
              <w:spacing w:after="0"/>
            </w:pPr>
            <w:r>
              <w:rPr>
                <w:rFonts w:ascii="Consolas" w:cs="Consolas" w:eastAsia="Consolas" w:hAnsi="Consolas"/>
                <w:color w:val="D4D4D4"/>
                <w:sz w:val="17"/>
                <w:szCs w:val="17"/>
              </w:rPr>
              <w:t xml:space="preserve">               format=json, jsonVD=Y(코드명도 함께 수신)</w:t>
            </w:r>
          </w:p>
        </w:tc>
      </w:tr>
    </w:tbl>
    <w:p>
      <w:pPr>
        <w:pBdr>
          <w:left w:val="single" w:color="C0510A" w:sz="18" w:space="6"/>
        </w:pBdr>
        <w:shd w:fill="FFF3E0" w:val="clear"/>
        <w:spacing w:after="160"/>
        <w:ind w:left="120"/>
      </w:pPr>
      <w:r>
        <w:rPr>
          <w:i/>
          <w:iCs/>
          <w:color w:val="5C3A00"/>
          <w:sz w:val="20"/>
          <w:szCs w:val="20"/>
        </w:rPr>
        <w:t xml:space="preserve">트러블슈팅: 처음에는 “https://kosis.kr/openapi/statisticsData.do”로 호출하여 {"err":"20","errMsg":"필수요청변수값이 누락되었습니다."} 오류가 발생했습니다. 실제로는 “Param/statisticsParameterData.do” 주소를 써야 하며, KOSIS는 통계표 화면에서 표를 열람할 때 자동 생성되는 요청 URL을 그대로 복사해 쓰는 것이 가장 안전합니다.</w:t>
      </w:r>
    </w:p>
    <w:p>
      <w:pPr>
        <w:pStyle w:val="Heading1"/>
        <w:pBdr>
          <w:bottom w:val="single" w:color="1F3864" w:sz="8" w:space="4"/>
        </w:pBdr>
        <w:spacing w:after="160" w:before="360"/>
      </w:pPr>
      <w:r>
        <w:rPr>
          <w:b/>
          <w:bCs/>
          <w:color w:val="1F3864"/>
          <w:sz w:val="30"/>
          <w:szCs w:val="30"/>
        </w:rPr>
        <w:t xml:space="preserve">5. 실습① — 인구·고령화 지역격차</w:t>
      </w:r>
    </w:p>
    <w:p>
      <w:pPr>
        <w:pStyle w:val="Heading2"/>
        <w:spacing w:after="120" w:before="280"/>
      </w:pPr>
      <w:r>
        <w:rPr>
          <w:b/>
          <w:bCs/>
          <w:color w:val="1F3864"/>
          <w:sz w:val="24"/>
          <w:szCs w:val="24"/>
        </w:rPr>
        <w:t xml:space="preserve">5.1 사용한 통계표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orgId / tblId</w:t>
            </w:r>
          </w:p>
        </w:tc>
        <w:tc>
          <w:tcPr>
            <w:tcW w:type="dxa" w:w="3438"/>
            <w:shd w:fill="1F3864" w:val="clear"/>
            <w:tcMar>
              <w:top w:type="dxa" w:w="80"/>
              <w:left w:type="dxa" w:w="120"/>
              <w:bottom w:type="dxa" w:w="80"/>
              <w:right w:type="dxa" w:w="120"/>
            </w:tcMar>
            <w:vAlign w:val="center"/>
          </w:tcPr>
          <w:p>
            <w:pPr>
              <w:jc w:val="left"/>
            </w:pPr>
            <w:r>
              <w:rPr>
                <w:b/>
                <w:bCs/>
                <w:color w:val="FFFFFF"/>
                <w:sz w:val="19"/>
                <w:szCs w:val="19"/>
              </w:rPr>
              <w:t xml:space="preserve">비고</w:t>
            </w:r>
          </w:p>
        </w:tc>
      </w:tr>
      <w:tr>
        <w:tc>
          <w:tcPr>
            <w:tcW w:type="dxa" w:w="3600"/>
            <w:shd w:fill="FFFFFF" w:val="clear"/>
            <w:tcMar>
              <w:top w:type="dxa" w:w="70"/>
              <w:left w:type="dxa" w:w="120"/>
              <w:bottom w:type="dxa" w:w="70"/>
              <w:right w:type="dxa" w:w="120"/>
            </w:tcMar>
            <w:vAlign w:val="center"/>
          </w:tcPr>
          <w:p>
            <w:r>
              <w:rPr>
                <w:sz w:val="19"/>
                <w:szCs w:val="19"/>
              </w:rPr>
              <w:t xml:space="preserve">행정구역(시군구)별, 성별 인구수</w:t>
            </w:r>
          </w:p>
        </w:tc>
        <w:tc>
          <w:tcPr>
            <w:tcW w:type="dxa" w:w="2600"/>
            <w:shd w:fill="FFFFFF" w:val="clear"/>
            <w:tcMar>
              <w:top w:type="dxa" w:w="70"/>
              <w:left w:type="dxa" w:w="120"/>
              <w:bottom w:type="dxa" w:w="70"/>
              <w:right w:type="dxa" w:w="120"/>
            </w:tcMar>
            <w:vAlign w:val="center"/>
          </w:tcPr>
          <w:p>
            <w:r>
              <w:rPr>
                <w:sz w:val="19"/>
                <w:szCs w:val="19"/>
              </w:rPr>
              <w:t xml:space="preserve">101 / DT_1B040A3</w:t>
            </w:r>
          </w:p>
        </w:tc>
        <w:tc>
          <w:tcPr>
            <w:tcW w:type="dxa" w:w="3438"/>
            <w:shd w:fill="FFFFFF" w:val="clear"/>
            <w:tcMar>
              <w:top w:type="dxa" w:w="70"/>
              <w:left w:type="dxa" w:w="120"/>
              <w:bottom w:type="dxa" w:w="70"/>
              <w:right w:type="dxa" w:w="120"/>
            </w:tcMar>
            <w:vAlign w:val="center"/>
          </w:tcPr>
          <w:p>
            <w:r>
              <w:rPr>
                <w:sz w:val="19"/>
                <w:szCs w:val="19"/>
              </w:rPr>
              <w:t xml:space="preserve">총인구·남자·여자 (연령 정보 없음)</w:t>
            </w:r>
          </w:p>
        </w:tc>
      </w:tr>
      <w:tr>
        <w:tc>
          <w:tcPr>
            <w:tcW w:type="dxa" w:w="3600"/>
            <w:shd w:fill="F2F2F2" w:val="clear"/>
            <w:tcMar>
              <w:top w:type="dxa" w:w="70"/>
              <w:left w:type="dxa" w:w="120"/>
              <w:bottom w:type="dxa" w:w="70"/>
              <w:right w:type="dxa" w:w="120"/>
            </w:tcMar>
            <w:vAlign w:val="center"/>
          </w:tcPr>
          <w:p>
            <w:r>
              <w:rPr>
                <w:sz w:val="19"/>
                <w:szCs w:val="19"/>
              </w:rPr>
              <w:t xml:space="preserve">고령인구비율(시도/시/군/구)</w:t>
            </w:r>
          </w:p>
        </w:tc>
        <w:tc>
          <w:tcPr>
            <w:tcW w:type="dxa" w:w="2600"/>
            <w:shd w:fill="F2F2F2" w:val="clear"/>
            <w:tcMar>
              <w:top w:type="dxa" w:w="70"/>
              <w:left w:type="dxa" w:w="120"/>
              <w:bottom w:type="dxa" w:w="70"/>
              <w:right w:type="dxa" w:w="120"/>
            </w:tcMar>
            <w:vAlign w:val="center"/>
          </w:tcPr>
          <w:p>
            <w:r>
              <w:rPr>
                <w:sz w:val="19"/>
                <w:szCs w:val="19"/>
              </w:rPr>
              <w:t xml:space="preserve">101 / DT_1YL20631</w:t>
            </w:r>
          </w:p>
        </w:tc>
        <w:tc>
          <w:tcPr>
            <w:tcW w:type="dxa" w:w="3438"/>
            <w:shd w:fill="F2F2F2" w:val="clear"/>
            <w:tcMar>
              <w:top w:type="dxa" w:w="70"/>
              <w:left w:type="dxa" w:w="120"/>
              <w:bottom w:type="dxa" w:w="70"/>
              <w:right w:type="dxa" w:w="120"/>
            </w:tcMar>
            <w:vAlign w:val="center"/>
          </w:tcPr>
          <w:p>
            <w:r>
              <w:rPr>
                <w:sz w:val="19"/>
                <w:szCs w:val="19"/>
              </w:rPr>
              <w:t xml:space="preserve">65세이상·전체인구·비율 (성별 구분 없어 최종 미사용)</w:t>
            </w:r>
          </w:p>
        </w:tc>
      </w:tr>
      <w:tr>
        <w:tc>
          <w:tcPr>
            <w:tcW w:type="dxa" w:w="3600"/>
            <w:shd w:fill="FFFFFF" w:val="clear"/>
            <w:tcMar>
              <w:top w:type="dxa" w:w="70"/>
              <w:left w:type="dxa" w:w="120"/>
              <w:bottom w:type="dxa" w:w="70"/>
              <w:right w:type="dxa" w:w="120"/>
            </w:tcMar>
            <w:vAlign w:val="center"/>
          </w:tcPr>
          <w:p>
            <w:r>
              <w:rPr>
                <w:sz w:val="19"/>
                <w:szCs w:val="19"/>
              </w:rPr>
              <w:t xml:space="preserve">행정구역(읍면동)별/5세별 주민등록인구</w:t>
            </w:r>
          </w:p>
        </w:tc>
        <w:tc>
          <w:tcPr>
            <w:tcW w:type="dxa" w:w="2600"/>
            <w:shd w:fill="FFFFFF" w:val="clear"/>
            <w:tcMar>
              <w:top w:type="dxa" w:w="70"/>
              <w:left w:type="dxa" w:w="120"/>
              <w:bottom w:type="dxa" w:w="70"/>
              <w:right w:type="dxa" w:w="120"/>
            </w:tcMar>
            <w:vAlign w:val="center"/>
          </w:tcPr>
          <w:p>
            <w:r>
              <w:rPr>
                <w:sz w:val="19"/>
                <w:szCs w:val="19"/>
              </w:rPr>
              <w:t xml:space="preserve">101 / DT_1B04005N</w:t>
            </w:r>
          </w:p>
        </w:tc>
        <w:tc>
          <w:tcPr>
            <w:tcW w:type="dxa" w:w="3438"/>
            <w:shd w:fill="FFFFFF" w:val="clear"/>
            <w:tcMar>
              <w:top w:type="dxa" w:w="70"/>
              <w:left w:type="dxa" w:w="120"/>
              <w:bottom w:type="dxa" w:w="70"/>
              <w:right w:type="dxa" w:w="120"/>
            </w:tcMar>
            <w:vAlign w:val="center"/>
          </w:tcPr>
          <w:p>
            <w:r>
              <w:rPr>
                <w:sz w:val="19"/>
                <w:szCs w:val="19"/>
              </w:rPr>
              <w:t xml:space="preserve">성별(itmId)×5세 연령(C2) — 최종 분석에 사용</w:t>
            </w:r>
          </w:p>
        </w:tc>
      </w:tr>
    </w:tbl>
    <w:p>
      <w:pPr>
        <w:spacing w:after="120"/>
      </w:pPr>
      <w:r>
        <w:rPr>
          <w:sz w:val="21"/>
          <w:szCs w:val="21"/>
        </w:rPr>
        <w:t xml:space="preserve">성별 고령인구비율을 계산하려면 “성별”과 “연령”을 동시에 분류하는 표가 필요했습니다. 처음 찾은 고령인구비율 표(DT_1YL20631)에는 성별 구분이 없어, 성별(itmId: T2 총인구/T3 남자/T4 여자)과 5세 단위 연령(C2)을 모두 포함한 DT_1B04005N 표로 바꾸어 65세 이상 구간(C2 70~105)을 직접 합산했습니다.</w:t>
      </w:r>
    </w:p>
    <w:p>
      <w:pPr>
        <w:pStyle w:val="Heading2"/>
        <w:spacing w:after="120" w:before="280"/>
      </w:pPr>
      <w:r>
        <w:rPr>
          <w:b/>
          <w:bCs/>
          <w:color w:val="1F3864"/>
          <w:sz w:val="24"/>
          <w:szCs w:val="24"/>
        </w:rPr>
        <w:t xml:space="preserve">5.2 트러블슈팅 — 4만 셀 초과 오류</w:t>
      </w:r>
    </w:p>
    <w:p>
      <w:pPr>
        <w:spacing w:after="120"/>
      </w:pPr>
      <w:r>
        <w:rPr>
          <w:sz w:val="21"/>
          <w:szCs w:val="21"/>
        </w:rPr>
        <w:t xml:space="preserve">DT_1B04005N은 읍면동 단위까지 포함하는 표라, objL1=ALL로 조회하면 셀 수가 4만 개를 초과해 {"err":"31","errMsg":" 40,000셀을 초과한 결과값은 요청하실 수 없습니다."} 오류가 발생했습니다. 조회 범위를 시도 단위 코드(00 전국 + 18개 시도)로 좁혀서 해결했습니다.</w:t>
      </w:r>
    </w:p>
    <w:p>
      <w:pPr>
        <w:pStyle w:val="Heading2"/>
        <w:spacing w:after="120" w:before="280"/>
      </w:pPr>
      <w:r>
        <w:rPr>
          <w:b/>
          <w:bCs/>
          <w:color w:val="1F3864"/>
          <w:sz w:val="24"/>
          <w:szCs w:val="24"/>
        </w:rPr>
        <w:t xml:space="preserve">5.3 행정구역 개편 대응 — “깨끗한 전환” 사례</w:t>
      </w:r>
    </w:p>
    <w:p>
      <w:pPr>
        <w:spacing w:after="120"/>
      </w:pPr>
      <w:r>
        <w:rPr>
          <w:sz w:val="21"/>
          <w:szCs w:val="21"/>
        </w:rPr>
        <w:t xml:space="preserve">2026년 7월 전라남도·광주광역시가 “전남광주통합특별시”로 통합되면서, 이 표에서는 전라남도·광주광역시가 2026년 6월까지만 데이터가 있고, 전남광주통합특별시는 7월부터 데이터가 시작되는 것을 확인했습니다. 두 방식이 겹치는 기간이 없어 이중 집계 없이 최신월(8월) 스냅샷 비교로 자연스럽게 처리할 수 있었습니다.</w:t>
      </w:r>
    </w:p>
    <w:p>
      <w:pPr>
        <w:pStyle w:val="Heading2"/>
        <w:spacing w:after="120" w:before="280"/>
      </w:pPr>
      <w:r>
        <w:rPr>
          <w:b/>
          <w:bCs/>
          <w:color w:val="1F3864"/>
          <w:sz w:val="24"/>
          <w:szCs w:val="24"/>
        </w:rPr>
        <w:t xml:space="preserve">5.4 결과 — 시도별 성별 고령인구비율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00"/>
        <w:gridCol w:w="838"/>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지역</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전체</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남자</w:t>
            </w:r>
          </w:p>
        </w:tc>
        <w:tc>
          <w:tcPr>
            <w:tcW w:type="dxa" w:w="838"/>
            <w:shd w:fill="1F3864" w:val="clear"/>
            <w:tcMar>
              <w:top w:type="dxa" w:w="80"/>
              <w:left w:type="dxa" w:w="120"/>
              <w:bottom w:type="dxa" w:w="80"/>
              <w:right w:type="dxa" w:w="120"/>
            </w:tcMar>
            <w:vAlign w:val="center"/>
          </w:tcPr>
          <w:p>
            <w:pPr>
              <w:jc w:val="left"/>
            </w:pPr>
            <w:r>
              <w:rPr>
                <w:b/>
                <w:bCs/>
                <w:color w:val="FFFFFF"/>
                <w:sz w:val="19"/>
                <w:szCs w:val="19"/>
              </w:rPr>
              <w:t xml:space="preserve">여자</w:t>
            </w:r>
          </w:p>
        </w:tc>
      </w:tr>
      <w:tr>
        <w:tc>
          <w:tcPr>
            <w:tcW w:type="dxa" w:w="3600"/>
            <w:shd w:fill="FFFFFF" w:val="clear"/>
            <w:tcMar>
              <w:top w:type="dxa" w:w="70"/>
              <w:left w:type="dxa" w:w="120"/>
              <w:bottom w:type="dxa" w:w="70"/>
              <w:right w:type="dxa" w:w="120"/>
            </w:tcMar>
            <w:vAlign w:val="center"/>
          </w:tcPr>
          <w:p>
            <w:r>
              <w:rPr>
                <w:sz w:val="19"/>
                <w:szCs w:val="19"/>
              </w:rPr>
              <w:t xml:space="preserve">경상북도</w:t>
            </w:r>
          </w:p>
        </w:tc>
        <w:tc>
          <w:tcPr>
            <w:tcW w:type="dxa" w:w="2600"/>
            <w:shd w:fill="FFFFFF" w:val="clear"/>
            <w:tcMar>
              <w:top w:type="dxa" w:w="70"/>
              <w:left w:type="dxa" w:w="120"/>
              <w:bottom w:type="dxa" w:w="70"/>
              <w:right w:type="dxa" w:w="120"/>
            </w:tcMar>
            <w:vAlign w:val="center"/>
          </w:tcPr>
          <w:p>
            <w:r>
              <w:rPr>
                <w:sz w:val="19"/>
                <w:szCs w:val="19"/>
              </w:rPr>
              <w:t xml:space="preserve">28.57</w:t>
            </w:r>
          </w:p>
        </w:tc>
        <w:tc>
          <w:tcPr>
            <w:tcW w:type="dxa" w:w="2600"/>
            <w:shd w:fill="FFFFFF" w:val="clear"/>
            <w:tcMar>
              <w:top w:type="dxa" w:w="70"/>
              <w:left w:type="dxa" w:w="120"/>
              <w:bottom w:type="dxa" w:w="70"/>
              <w:right w:type="dxa" w:w="120"/>
            </w:tcMar>
            <w:vAlign w:val="center"/>
          </w:tcPr>
          <w:p>
            <w:r>
              <w:rPr>
                <w:sz w:val="19"/>
                <w:szCs w:val="19"/>
              </w:rPr>
              <w:t xml:space="preserve">25.18</w:t>
            </w:r>
          </w:p>
        </w:tc>
        <w:tc>
          <w:tcPr>
            <w:tcW w:type="dxa" w:w="838"/>
            <w:shd w:fill="FFFFFF" w:val="clear"/>
            <w:tcMar>
              <w:top w:type="dxa" w:w="70"/>
              <w:left w:type="dxa" w:w="120"/>
              <w:bottom w:type="dxa" w:w="70"/>
              <w:right w:type="dxa" w:w="120"/>
            </w:tcMar>
            <w:vAlign w:val="center"/>
          </w:tcPr>
          <w:p>
            <w:r>
              <w:rPr>
                <w:sz w:val="19"/>
                <w:szCs w:val="19"/>
              </w:rPr>
              <w:t xml:space="preserve">32.05</w:t>
            </w:r>
          </w:p>
        </w:tc>
      </w:tr>
      <w:tr>
        <w:tc>
          <w:tcPr>
            <w:tcW w:type="dxa" w:w="3600"/>
            <w:shd w:fill="F2F2F2" w:val="clear"/>
            <w:tcMar>
              <w:top w:type="dxa" w:w="70"/>
              <w:left w:type="dxa" w:w="120"/>
              <w:bottom w:type="dxa" w:w="70"/>
              <w:right w:type="dxa" w:w="120"/>
            </w:tcMar>
            <w:vAlign w:val="center"/>
          </w:tcPr>
          <w:p>
            <w:r>
              <w:rPr>
                <w:sz w:val="19"/>
                <w:szCs w:val="19"/>
              </w:rPr>
              <w:t xml:space="preserve">강원특별자치도</w:t>
            </w:r>
          </w:p>
        </w:tc>
        <w:tc>
          <w:tcPr>
            <w:tcW w:type="dxa" w:w="2600"/>
            <w:shd w:fill="F2F2F2" w:val="clear"/>
            <w:tcMar>
              <w:top w:type="dxa" w:w="70"/>
              <w:left w:type="dxa" w:w="120"/>
              <w:bottom w:type="dxa" w:w="70"/>
              <w:right w:type="dxa" w:w="120"/>
            </w:tcMar>
            <w:vAlign w:val="center"/>
          </w:tcPr>
          <w:p>
            <w:r>
              <w:rPr>
                <w:sz w:val="19"/>
                <w:szCs w:val="19"/>
              </w:rPr>
              <w:t xml:space="preserve">27.90</w:t>
            </w:r>
          </w:p>
        </w:tc>
        <w:tc>
          <w:tcPr>
            <w:tcW w:type="dxa" w:w="2600"/>
            <w:shd w:fill="F2F2F2" w:val="clear"/>
            <w:tcMar>
              <w:top w:type="dxa" w:w="70"/>
              <w:left w:type="dxa" w:w="120"/>
              <w:bottom w:type="dxa" w:w="70"/>
              <w:right w:type="dxa" w:w="120"/>
            </w:tcMar>
            <w:vAlign w:val="center"/>
          </w:tcPr>
          <w:p>
            <w:r>
              <w:rPr>
                <w:sz w:val="19"/>
                <w:szCs w:val="19"/>
              </w:rPr>
              <w:t xml:space="preserve">25.08</w:t>
            </w:r>
          </w:p>
        </w:tc>
        <w:tc>
          <w:tcPr>
            <w:tcW w:type="dxa" w:w="838"/>
            <w:shd w:fill="F2F2F2" w:val="clear"/>
            <w:tcMar>
              <w:top w:type="dxa" w:w="70"/>
              <w:left w:type="dxa" w:w="120"/>
              <w:bottom w:type="dxa" w:w="70"/>
              <w:right w:type="dxa" w:w="120"/>
            </w:tcMar>
            <w:vAlign w:val="center"/>
          </w:tcPr>
          <w:p>
            <w:r>
              <w:rPr>
                <w:sz w:val="19"/>
                <w:szCs w:val="19"/>
              </w:rPr>
              <w:t xml:space="preserve">30.75</w:t>
            </w:r>
          </w:p>
        </w:tc>
      </w:tr>
      <w:tr>
        <w:tc>
          <w:tcPr>
            <w:tcW w:type="dxa" w:w="3600"/>
            <w:shd w:fill="FFFFFF" w:val="clear"/>
            <w:tcMar>
              <w:top w:type="dxa" w:w="70"/>
              <w:left w:type="dxa" w:w="120"/>
              <w:bottom w:type="dxa" w:w="70"/>
              <w:right w:type="dxa" w:w="120"/>
            </w:tcMar>
            <w:vAlign w:val="center"/>
          </w:tcPr>
          <w:p>
            <w:r>
              <w:rPr>
                <w:sz w:val="19"/>
                <w:szCs w:val="19"/>
              </w:rPr>
              <w:t xml:space="preserve">전북특별자치도</w:t>
            </w:r>
          </w:p>
        </w:tc>
        <w:tc>
          <w:tcPr>
            <w:tcW w:type="dxa" w:w="2600"/>
            <w:shd w:fill="FFFFFF" w:val="clear"/>
            <w:tcMar>
              <w:top w:type="dxa" w:w="70"/>
              <w:left w:type="dxa" w:w="120"/>
              <w:bottom w:type="dxa" w:w="70"/>
              <w:right w:type="dxa" w:w="120"/>
            </w:tcMar>
            <w:vAlign w:val="center"/>
          </w:tcPr>
          <w:p>
            <w:r>
              <w:rPr>
                <w:sz w:val="19"/>
                <w:szCs w:val="19"/>
              </w:rPr>
              <w:t xml:space="preserve">27.55</w:t>
            </w:r>
          </w:p>
        </w:tc>
        <w:tc>
          <w:tcPr>
            <w:tcW w:type="dxa" w:w="2600"/>
            <w:shd w:fill="FFFFFF" w:val="clear"/>
            <w:tcMar>
              <w:top w:type="dxa" w:w="70"/>
              <w:left w:type="dxa" w:w="120"/>
              <w:bottom w:type="dxa" w:w="70"/>
              <w:right w:type="dxa" w:w="120"/>
            </w:tcMar>
            <w:vAlign w:val="center"/>
          </w:tcPr>
          <w:p>
            <w:r>
              <w:rPr>
                <w:sz w:val="19"/>
                <w:szCs w:val="19"/>
              </w:rPr>
              <w:t xml:space="preserve">24.38</w:t>
            </w:r>
          </w:p>
        </w:tc>
        <w:tc>
          <w:tcPr>
            <w:tcW w:type="dxa" w:w="838"/>
            <w:shd w:fill="FFFFFF" w:val="clear"/>
            <w:tcMar>
              <w:top w:type="dxa" w:w="70"/>
              <w:left w:type="dxa" w:w="120"/>
              <w:bottom w:type="dxa" w:w="70"/>
              <w:right w:type="dxa" w:w="120"/>
            </w:tcMar>
            <w:vAlign w:val="center"/>
          </w:tcPr>
          <w:p>
            <w:r>
              <w:rPr>
                <w:sz w:val="19"/>
                <w:szCs w:val="19"/>
              </w:rPr>
              <w:t xml:space="preserve">30.70</w:t>
            </w:r>
          </w:p>
        </w:tc>
      </w:tr>
      <w:tr>
        <w:tc>
          <w:tcPr>
            <w:tcW w:type="dxa" w:w="3600"/>
            <w:shd w:fill="F2F2F2" w:val="clear"/>
            <w:tcMar>
              <w:top w:type="dxa" w:w="70"/>
              <w:left w:type="dxa" w:w="120"/>
              <w:bottom w:type="dxa" w:w="70"/>
              <w:right w:type="dxa" w:w="120"/>
            </w:tcMar>
            <w:vAlign w:val="center"/>
          </w:tcPr>
          <w:p>
            <w:r>
              <w:rPr>
                <w:sz w:val="19"/>
                <w:szCs w:val="19"/>
              </w:rPr>
              <w:t xml:space="preserve">부산광역시</w:t>
            </w:r>
          </w:p>
        </w:tc>
        <w:tc>
          <w:tcPr>
            <w:tcW w:type="dxa" w:w="2600"/>
            <w:shd w:fill="F2F2F2" w:val="clear"/>
            <w:tcMar>
              <w:top w:type="dxa" w:w="70"/>
              <w:left w:type="dxa" w:w="120"/>
              <w:bottom w:type="dxa" w:w="70"/>
              <w:right w:type="dxa" w:w="120"/>
            </w:tcMar>
            <w:vAlign w:val="center"/>
          </w:tcPr>
          <w:p>
            <w:r>
              <w:rPr>
                <w:sz w:val="19"/>
                <w:szCs w:val="19"/>
              </w:rPr>
              <w:t xml:space="preserve">26.19</w:t>
            </w:r>
          </w:p>
        </w:tc>
        <w:tc>
          <w:tcPr>
            <w:tcW w:type="dxa" w:w="2600"/>
            <w:shd w:fill="F2F2F2" w:val="clear"/>
            <w:tcMar>
              <w:top w:type="dxa" w:w="70"/>
              <w:left w:type="dxa" w:w="120"/>
              <w:bottom w:type="dxa" w:w="70"/>
              <w:right w:type="dxa" w:w="120"/>
            </w:tcMar>
            <w:vAlign w:val="center"/>
          </w:tcPr>
          <w:p>
            <w:r>
              <w:rPr>
                <w:sz w:val="19"/>
                <w:szCs w:val="19"/>
              </w:rPr>
              <w:t xml:space="preserve">23.57</w:t>
            </w:r>
          </w:p>
        </w:tc>
        <w:tc>
          <w:tcPr>
            <w:tcW w:type="dxa" w:w="838"/>
            <w:shd w:fill="F2F2F2" w:val="clear"/>
            <w:tcMar>
              <w:top w:type="dxa" w:w="70"/>
              <w:left w:type="dxa" w:w="120"/>
              <w:bottom w:type="dxa" w:w="70"/>
              <w:right w:type="dxa" w:w="120"/>
            </w:tcMar>
            <w:vAlign w:val="center"/>
          </w:tcPr>
          <w:p>
            <w:r>
              <w:rPr>
                <w:sz w:val="19"/>
                <w:szCs w:val="19"/>
              </w:rPr>
              <w:t xml:space="preserve">28.67</w:t>
            </w:r>
          </w:p>
        </w:tc>
      </w:tr>
      <w:tr>
        <w:tc>
          <w:tcPr>
            <w:tcW w:type="dxa" w:w="3600"/>
            <w:shd w:fill="FFFFFF" w:val="clear"/>
            <w:tcMar>
              <w:top w:type="dxa" w:w="70"/>
              <w:left w:type="dxa" w:w="120"/>
              <w:bottom w:type="dxa" w:w="70"/>
              <w:right w:type="dxa" w:w="120"/>
            </w:tcMar>
            <w:vAlign w:val="center"/>
          </w:tcPr>
          <w:p>
            <w:r>
              <w:rPr>
                <w:sz w:val="19"/>
                <w:szCs w:val="19"/>
              </w:rPr>
              <w:t xml:space="preserve">전남광주통합특별시</w:t>
            </w:r>
          </w:p>
        </w:tc>
        <w:tc>
          <w:tcPr>
            <w:tcW w:type="dxa" w:w="2600"/>
            <w:shd w:fill="FFFFFF" w:val="clear"/>
            <w:tcMar>
              <w:top w:type="dxa" w:w="70"/>
              <w:left w:type="dxa" w:w="120"/>
              <w:bottom w:type="dxa" w:w="70"/>
              <w:right w:type="dxa" w:w="120"/>
            </w:tcMar>
            <w:vAlign w:val="center"/>
          </w:tcPr>
          <w:p>
            <w:r>
              <w:rPr>
                <w:sz w:val="19"/>
                <w:szCs w:val="19"/>
              </w:rPr>
              <w:t xml:space="preserve">25.04</w:t>
            </w:r>
          </w:p>
        </w:tc>
        <w:tc>
          <w:tcPr>
            <w:tcW w:type="dxa" w:w="2600"/>
            <w:shd w:fill="FFFFFF" w:val="clear"/>
            <w:tcMar>
              <w:top w:type="dxa" w:w="70"/>
              <w:left w:type="dxa" w:w="120"/>
              <w:bottom w:type="dxa" w:w="70"/>
              <w:right w:type="dxa" w:w="120"/>
            </w:tcMar>
            <w:vAlign w:val="center"/>
          </w:tcPr>
          <w:p>
            <w:r>
              <w:rPr>
                <w:sz w:val="19"/>
                <w:szCs w:val="19"/>
              </w:rPr>
              <w:t xml:space="preserve">22.01</w:t>
            </w:r>
          </w:p>
        </w:tc>
        <w:tc>
          <w:tcPr>
            <w:tcW w:type="dxa" w:w="838"/>
            <w:shd w:fill="FFFFFF" w:val="clear"/>
            <w:tcMar>
              <w:top w:type="dxa" w:w="70"/>
              <w:left w:type="dxa" w:w="120"/>
              <w:bottom w:type="dxa" w:w="70"/>
              <w:right w:type="dxa" w:w="120"/>
            </w:tcMar>
            <w:vAlign w:val="center"/>
          </w:tcPr>
          <w:p>
            <w:r>
              <w:rPr>
                <w:sz w:val="19"/>
                <w:szCs w:val="19"/>
              </w:rPr>
              <w:t xml:space="preserve">28.07</w:t>
            </w:r>
          </w:p>
        </w:tc>
      </w:tr>
      <w:tr>
        <w:tc>
          <w:tcPr>
            <w:tcW w:type="dxa" w:w="3600"/>
            <w:shd w:fill="F2F2F2" w:val="clear"/>
            <w:tcMar>
              <w:top w:type="dxa" w:w="70"/>
              <w:left w:type="dxa" w:w="120"/>
              <w:bottom w:type="dxa" w:w="70"/>
              <w:right w:type="dxa" w:w="120"/>
            </w:tcMar>
            <w:vAlign w:val="center"/>
          </w:tcPr>
          <w:p>
            <w:r>
              <w:rPr>
                <w:sz w:val="19"/>
                <w:szCs w:val="19"/>
              </w:rPr>
              <w:t xml:space="preserve">서울특별시</w:t>
            </w:r>
          </w:p>
        </w:tc>
        <w:tc>
          <w:tcPr>
            <w:tcW w:type="dxa" w:w="2600"/>
            <w:shd w:fill="F2F2F2" w:val="clear"/>
            <w:tcMar>
              <w:top w:type="dxa" w:w="70"/>
              <w:left w:type="dxa" w:w="120"/>
              <w:bottom w:type="dxa" w:w="70"/>
              <w:right w:type="dxa" w:w="120"/>
            </w:tcMar>
            <w:vAlign w:val="center"/>
          </w:tcPr>
          <w:p>
            <w:r>
              <w:rPr>
                <w:sz w:val="19"/>
                <w:szCs w:val="19"/>
              </w:rPr>
              <w:t xml:space="preserve">21.13</w:t>
            </w:r>
          </w:p>
        </w:tc>
        <w:tc>
          <w:tcPr>
            <w:tcW w:type="dxa" w:w="2600"/>
            <w:shd w:fill="F2F2F2" w:val="clear"/>
            <w:tcMar>
              <w:top w:type="dxa" w:w="70"/>
              <w:left w:type="dxa" w:w="120"/>
              <w:bottom w:type="dxa" w:w="70"/>
              <w:right w:type="dxa" w:w="120"/>
            </w:tcMar>
            <w:vAlign w:val="center"/>
          </w:tcPr>
          <w:p>
            <w:r>
              <w:rPr>
                <w:sz w:val="19"/>
                <w:szCs w:val="19"/>
              </w:rPr>
              <w:t xml:space="preserve">19.42</w:t>
            </w:r>
          </w:p>
        </w:tc>
        <w:tc>
          <w:tcPr>
            <w:tcW w:type="dxa" w:w="838"/>
            <w:shd w:fill="F2F2F2" w:val="clear"/>
            <w:tcMar>
              <w:top w:type="dxa" w:w="70"/>
              <w:left w:type="dxa" w:w="120"/>
              <w:bottom w:type="dxa" w:w="70"/>
              <w:right w:type="dxa" w:w="120"/>
            </w:tcMar>
            <w:vAlign w:val="center"/>
          </w:tcPr>
          <w:p>
            <w:r>
              <w:rPr>
                <w:sz w:val="19"/>
                <w:szCs w:val="19"/>
              </w:rPr>
              <w:t xml:space="preserve">22.72</w:t>
            </w:r>
          </w:p>
        </w:tc>
      </w:tr>
      <w:tr>
        <w:tc>
          <w:tcPr>
            <w:tcW w:type="dxa" w:w="3600"/>
            <w:shd w:fill="FFFFFF" w:val="clear"/>
            <w:tcMar>
              <w:top w:type="dxa" w:w="70"/>
              <w:left w:type="dxa" w:w="120"/>
              <w:bottom w:type="dxa" w:w="70"/>
              <w:right w:type="dxa" w:w="120"/>
            </w:tcMar>
            <w:vAlign w:val="center"/>
          </w:tcPr>
          <w:p>
            <w:r>
              <w:rPr>
                <w:sz w:val="19"/>
                <w:szCs w:val="19"/>
              </w:rPr>
              <w:t xml:space="preserve">경기도</w:t>
            </w:r>
          </w:p>
        </w:tc>
        <w:tc>
          <w:tcPr>
            <w:tcW w:type="dxa" w:w="2600"/>
            <w:shd w:fill="FFFFFF" w:val="clear"/>
            <w:tcMar>
              <w:top w:type="dxa" w:w="70"/>
              <w:left w:type="dxa" w:w="120"/>
              <w:bottom w:type="dxa" w:w="70"/>
              <w:right w:type="dxa" w:w="120"/>
            </w:tcMar>
            <w:vAlign w:val="center"/>
          </w:tcPr>
          <w:p>
            <w:r>
              <w:rPr>
                <w:sz w:val="19"/>
                <w:szCs w:val="19"/>
              </w:rPr>
              <w:t xml:space="preserve">18.56</w:t>
            </w:r>
          </w:p>
        </w:tc>
        <w:tc>
          <w:tcPr>
            <w:tcW w:type="dxa" w:w="2600"/>
            <w:shd w:fill="FFFFFF" w:val="clear"/>
            <w:tcMar>
              <w:top w:type="dxa" w:w="70"/>
              <w:left w:type="dxa" w:w="120"/>
              <w:bottom w:type="dxa" w:w="70"/>
              <w:right w:type="dxa" w:w="120"/>
            </w:tcMar>
            <w:vAlign w:val="center"/>
          </w:tcPr>
          <w:p>
            <w:r>
              <w:rPr>
                <w:sz w:val="19"/>
                <w:szCs w:val="19"/>
              </w:rPr>
              <w:t xml:space="preserve">16.85</w:t>
            </w:r>
          </w:p>
        </w:tc>
        <w:tc>
          <w:tcPr>
            <w:tcW w:type="dxa" w:w="838"/>
            <w:shd w:fill="FFFFFF" w:val="clear"/>
            <w:tcMar>
              <w:top w:type="dxa" w:w="70"/>
              <w:left w:type="dxa" w:w="120"/>
              <w:bottom w:type="dxa" w:w="70"/>
              <w:right w:type="dxa" w:w="120"/>
            </w:tcMar>
            <w:vAlign w:val="center"/>
          </w:tcPr>
          <w:p>
            <w:r>
              <w:rPr>
                <w:sz w:val="19"/>
                <w:szCs w:val="19"/>
              </w:rPr>
              <w:t xml:space="preserve">20.29</w:t>
            </w:r>
          </w:p>
        </w:tc>
      </w:tr>
      <w:tr>
        <w:tc>
          <w:tcPr>
            <w:tcW w:type="dxa" w:w="3600"/>
            <w:shd w:fill="F2F2F2" w:val="clear"/>
            <w:tcMar>
              <w:top w:type="dxa" w:w="70"/>
              <w:left w:type="dxa" w:w="120"/>
              <w:bottom w:type="dxa" w:w="70"/>
              <w:right w:type="dxa" w:w="120"/>
            </w:tcMar>
            <w:vAlign w:val="center"/>
          </w:tcPr>
          <w:p>
            <w:r>
              <w:rPr>
                <w:sz w:val="19"/>
                <w:szCs w:val="19"/>
              </w:rPr>
              <w:t xml:space="preserve">세종특별자치시</w:t>
            </w:r>
          </w:p>
        </w:tc>
        <w:tc>
          <w:tcPr>
            <w:tcW w:type="dxa" w:w="2600"/>
            <w:shd w:fill="F2F2F2" w:val="clear"/>
            <w:tcMar>
              <w:top w:type="dxa" w:w="70"/>
              <w:left w:type="dxa" w:w="120"/>
              <w:bottom w:type="dxa" w:w="70"/>
              <w:right w:type="dxa" w:w="120"/>
            </w:tcMar>
            <w:vAlign w:val="center"/>
          </w:tcPr>
          <w:p>
            <w:r>
              <w:rPr>
                <w:sz w:val="19"/>
                <w:szCs w:val="19"/>
              </w:rPr>
              <w:t xml:space="preserve">12.89</w:t>
            </w:r>
          </w:p>
        </w:tc>
        <w:tc>
          <w:tcPr>
            <w:tcW w:type="dxa" w:w="2600"/>
            <w:shd w:fill="F2F2F2" w:val="clear"/>
            <w:tcMar>
              <w:top w:type="dxa" w:w="70"/>
              <w:left w:type="dxa" w:w="120"/>
              <w:bottom w:type="dxa" w:w="70"/>
              <w:right w:type="dxa" w:w="120"/>
            </w:tcMar>
            <w:vAlign w:val="center"/>
          </w:tcPr>
          <w:p>
            <w:r>
              <w:rPr>
                <w:sz w:val="19"/>
                <w:szCs w:val="19"/>
              </w:rPr>
              <w:t xml:space="preserve">11.86</w:t>
            </w:r>
          </w:p>
        </w:tc>
        <w:tc>
          <w:tcPr>
            <w:tcW w:type="dxa" w:w="838"/>
            <w:shd w:fill="F2F2F2" w:val="clear"/>
            <w:tcMar>
              <w:top w:type="dxa" w:w="70"/>
              <w:left w:type="dxa" w:w="120"/>
              <w:bottom w:type="dxa" w:w="70"/>
              <w:right w:type="dxa" w:w="120"/>
            </w:tcMar>
            <w:vAlign w:val="center"/>
          </w:tcPr>
          <w:p>
            <w:r>
              <w:rPr>
                <w:sz w:val="19"/>
                <w:szCs w:val="19"/>
              </w:rPr>
              <w:t xml:space="preserve">13.92</w:t>
            </w:r>
          </w:p>
        </w:tc>
      </w:tr>
    </w:tbl>
    <w:p>
      <w:pPr>
        <w:pBdr>
          <w:left w:val="single" w:color="C0510A" w:sz="18" w:space="6"/>
        </w:pBdr>
        <w:shd w:fill="FFF3E0" w:val="clear"/>
        <w:spacing w:after="160"/>
        <w:ind w:left="120"/>
      </w:pPr>
      <w:r>
        <w:rPr>
          <w:i/>
          <w:iCs/>
          <w:color w:val="5C3A00"/>
          <w:sz w:val="20"/>
          <w:szCs w:val="20"/>
        </w:rPr>
        <w:t xml:space="preserve">모든 지역에서 예외 없이 여자의 고령인구비율이 남자보다 높습니다(평균 약 8%p 차이) — 여성 기대수명이 더 길다는 것을 데이터로 보여주는 사례입니다.</w:t>
      </w:r>
    </w:p>
    <w:p>
      <w:pPr>
        <w:spacing w:after="60" w:before="12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66950"/>
                    </a:xfrm>
                    <a:prstGeom prst="rect">
                      <a:avLst/>
                    </a:prstGeom>
                  </pic:spPr>
                </pic:pic>
              </a:graphicData>
            </a:graphic>
          </wp:inline>
        </w:drawing>
      </w:r>
    </w:p>
    <w:p>
      <w:pPr>
        <w:spacing w:after="200"/>
        <w:jc w:val="center"/>
      </w:pPr>
      <w:r>
        <w:rPr>
          <w:i/>
          <w:iCs/>
          <w:color w:val="666666"/>
          <w:sz w:val="18"/>
          <w:szCs w:val="18"/>
        </w:rPr>
        <w:t xml:space="preserve">그림 1. 시도별 성별 고령인구비율 (2026년 8월)</w:t>
      </w:r>
    </w:p>
    <w:p>
      <w:pPr>
        <w:pStyle w:val="Heading2"/>
        <w:spacing w:after="120" w:before="280"/>
      </w:pPr>
      <w:r>
        <w:rPr>
          <w:b/>
          <w:bCs/>
          <w:color w:val="1F3864"/>
          <w:sz w:val="24"/>
          <w:szCs w:val="24"/>
        </w:rPr>
        <w:t xml:space="preserve">5.5 분석 — 인구 규모와 고령화의 관계</w:t>
      </w:r>
    </w:p>
    <w:p>
      <w:pPr>
        <w:spacing w:after="120"/>
      </w:pPr>
      <w:r>
        <w:rPr>
          <w:sz w:val="21"/>
          <w:szCs w:val="21"/>
        </w:rPr>
        <w:t xml:space="preserve">“인구가 적은 지역일수록 고령화되어 있는가?”를 확인하기 위해 총인구수와 고령인구비율의 상관계수를 계산한 결과 -0.157로 사실상 거의 관계가 없는 수준이었습니다. 그러나 산점도를 보면 이야기가 다릅니다.</w:t>
      </w:r>
    </w:p>
    <w:p>
      <w:pPr>
        <w:spacing w:after="60" w:before="120"/>
        <w:jc w:val="center"/>
      </w:pPr>
      <w:r>
        <w:drawing>
          <wp:inline distT="0" distB="0" distL="0" distR="0">
            <wp:extent cx="4191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52775"/>
                    </a:xfrm>
                    <a:prstGeom prst="rect">
                      <a:avLst/>
                    </a:prstGeom>
                  </pic:spPr>
                </pic:pic>
              </a:graphicData>
            </a:graphic>
          </wp:inline>
        </w:drawing>
      </w:r>
    </w:p>
    <w:p>
      <w:pPr>
        <w:spacing w:after="200"/>
        <w:jc w:val="center"/>
      </w:pPr>
      <w:r>
        <w:rPr>
          <w:i/>
          <w:iCs/>
          <w:color w:val="666666"/>
          <w:sz w:val="18"/>
          <w:szCs w:val="18"/>
        </w:rPr>
        <w:t xml:space="preserve">그림 2. 시도별 총인구수와 고령인구비율의 관계</w:t>
      </w:r>
    </w:p>
    <w:p>
      <w:pPr>
        <w:spacing w:after="120"/>
      </w:pPr>
      <w:r>
        <w:rPr>
          <w:sz w:val="21"/>
          <w:szCs w:val="21"/>
        </w:rPr>
        <w:t xml:space="preserve">세종특별자치시(인구 최소)는 오히려 고령인구비율이 가장 낮고, 경상북도·강원·전북처럼 인구 150~250만 규모의 지방 도(道)가 가장 높습니다. 서울·경기처럼 인구가 가장 많은 지역은 중간 수준입니다. 즉 “인구 규모”라는 단일 숫자보다 “신도시·성장 지역인지, 청년 인구가 오래 유출된 지역인지”라는 지역의 성격이 고령화를 더 잘 설명합니다. 상관계수만 보고 “관계없음”이라 결론지었다면 놓쳤을 패턴입니다.</w:t>
      </w:r>
    </w:p>
    <w:p>
      <w:pPr>
        <w:pStyle w:val="Heading2"/>
        <w:spacing w:after="120" w:before="280"/>
      </w:pPr>
      <w:r>
        <w:rPr>
          <w:b/>
          <w:bCs/>
          <w:color w:val="1F3864"/>
          <w:sz w:val="24"/>
          <w:szCs w:val="24"/>
        </w:rPr>
        <w:t xml:space="preserve">5.6 시각화 — 지도(코로플레스)</w:t>
      </w:r>
    </w:p>
    <w:p>
      <w:pPr>
        <w:spacing w:after="120"/>
      </w:pPr>
      <w:r>
        <w:rPr>
          <w:sz w:val="21"/>
          <w:szCs w:val="21"/>
        </w:rPr>
        <w:t xml:space="preserve">지역 데이터는 지도로 표현할 때 가장 직관적입니다. 다만 무료로 구할 수 있는 시도 경계 GeoJSON (southkorea-maps, 2013년 기준)은 최신 행정구역명과 표기가 다릅니다 — “강원도”(→강원특별자치도), “전라북도”(→전북특별자치도), 그리고 “전남광주통합특별시” 자체가 존재하지 않고 “전라남도”·“광주광역시”가 따로 있습니다. 이름 매핑표를 만들어 대응했고, 통합특별시는 두 폴리곤에 동일한(통합) 수치를 넣는 근사 방식으로 처리했습니다.</w:t>
      </w:r>
    </w:p>
    <w:p>
      <w:pPr>
        <w:pBdr>
          <w:left w:val="single" w:color="C0510A" w:sz="18" w:space="6"/>
        </w:pBdr>
        <w:shd w:fill="FFF3E0" w:val="clear"/>
        <w:spacing w:after="160"/>
        <w:ind w:left="120"/>
      </w:pPr>
      <w:r>
        <w:rPr>
          <w:i/>
          <w:iCs/>
          <w:color w:val="5C3A00"/>
          <w:sz w:val="20"/>
          <w:szCs w:val="20"/>
        </w:rPr>
        <w:t xml:space="preserve">트러블슈팅: folium 기본 타일(CartoDB, OpenStreetMap)이 최근 정책 변경으로 코랩 같은 자동화 환경의 요청을 차단(403 Access blocked)했습니다. 시도 단위 코로플레스는 배경 지도가 꼭 필요하지 않으므로 tiles=None으로 지역 경계만 표시하는 방식으로 해결했습니다.</w:t>
      </w:r>
    </w:p>
    <w:p>
      <w:pPr>
        <w:spacing w:after="60" w:before="120"/>
        <w:jc w:val="center"/>
      </w:pPr>
      <w:r>
        <w:drawing>
          <wp:inline distT="0" distB="0" distL="0" distR="0">
            <wp:extent cx="3238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057525"/>
                    </a:xfrm>
                    <a:prstGeom prst="rect">
                      <a:avLst/>
                    </a:prstGeom>
                  </pic:spPr>
                </pic:pic>
              </a:graphicData>
            </a:graphic>
          </wp:inline>
        </w:drawing>
      </w:r>
    </w:p>
    <w:p>
      <w:pPr>
        <w:spacing w:after="200"/>
        <w:jc w:val="center"/>
      </w:pPr>
      <w:r>
        <w:rPr>
          <w:i/>
          <w:iCs/>
          <w:color w:val="666666"/>
          <w:sz w:val="18"/>
          <w:szCs w:val="18"/>
        </w:rPr>
        <w:t xml:space="preserve">그림 3. 시도별 고령인구비율 코로플레스 지도</w:t>
      </w:r>
    </w:p>
    <w:p>
      <w:pPr>
        <w:pStyle w:val="Heading1"/>
        <w:pBdr>
          <w:bottom w:val="single" w:color="1F3864" w:sz="8" w:space="4"/>
        </w:pBdr>
        <w:spacing w:after="160" w:before="360"/>
      </w:pPr>
      <w:r>
        <w:rPr>
          <w:b/>
          <w:bCs/>
          <w:color w:val="1F3864"/>
          <w:sz w:val="30"/>
          <w:szCs w:val="30"/>
        </w:rPr>
        <w:t xml:space="preserve">6. 실습② — 고용·실업률 지역격차</w:t>
      </w:r>
    </w:p>
    <w:p>
      <w:pPr>
        <w:pStyle w:val="Heading2"/>
        <w:spacing w:after="120" w:before="280"/>
      </w:pPr>
      <w:r>
        <w:rPr>
          <w:b/>
          <w:bCs/>
          <w:color w:val="1F3864"/>
          <w:sz w:val="24"/>
          <w:szCs w:val="24"/>
        </w:rPr>
        <w:t xml:space="preserve">6.1 사용한 통계표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38"/>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4200"/>
            <w:shd w:fill="1F3864" w:val="clear"/>
            <w:tcMar>
              <w:top w:type="dxa" w:w="80"/>
              <w:left w:type="dxa" w:w="120"/>
              <w:bottom w:type="dxa" w:w="80"/>
              <w:right w:type="dxa" w:w="120"/>
            </w:tcMar>
            <w:vAlign w:val="center"/>
          </w:tcPr>
          <w:p>
            <w:pPr>
              <w:jc w:val="left"/>
            </w:pPr>
            <w:r>
              <w:rPr>
                <w:b/>
                <w:bCs/>
                <w:color w:val="FFFFFF"/>
                <w:sz w:val="19"/>
                <w:szCs w:val="19"/>
              </w:rPr>
              <w:t xml:space="preserve">orgId / tblId / itmId</w:t>
            </w:r>
          </w:p>
        </w:tc>
        <w:tc>
          <w:tcPr>
            <w:tcW w:type="dxa" w:w="2238"/>
            <w:shd w:fill="1F3864" w:val="clear"/>
            <w:tcMar>
              <w:top w:type="dxa" w:w="80"/>
              <w:left w:type="dxa" w:w="120"/>
              <w:bottom w:type="dxa" w:w="80"/>
              <w:right w:type="dxa" w:w="120"/>
            </w:tcMar>
            <w:vAlign w:val="center"/>
          </w:tcPr>
          <w:p>
            <w:pPr>
              <w:jc w:val="left"/>
            </w:pPr>
            <w:r>
              <w:rPr>
                <w:b/>
                <w:bCs/>
                <w:color w:val="FFFFFF"/>
                <w:sz w:val="19"/>
                <w:szCs w:val="19"/>
              </w:rPr>
              <w:t xml:space="preserve">비고</w:t>
            </w:r>
          </w:p>
        </w:tc>
      </w:tr>
      <w:tr>
        <w:tc>
          <w:tcPr>
            <w:tcW w:type="dxa" w:w="3200"/>
            <w:shd w:fill="FFFFFF" w:val="clear"/>
            <w:tcMar>
              <w:top w:type="dxa" w:w="70"/>
              <w:left w:type="dxa" w:w="120"/>
              <w:bottom w:type="dxa" w:w="70"/>
              <w:right w:type="dxa" w:w="120"/>
            </w:tcMar>
            <w:vAlign w:val="center"/>
          </w:tcPr>
          <w:p>
            <w:r>
              <w:rPr>
                <w:sz w:val="19"/>
                <w:szCs w:val="19"/>
              </w:rPr>
              <w:t xml:space="preserve">고용률(시도)</w:t>
            </w:r>
          </w:p>
        </w:tc>
        <w:tc>
          <w:tcPr>
            <w:tcW w:type="dxa" w:w="4200"/>
            <w:shd w:fill="FFFFFF" w:val="clear"/>
            <w:tcMar>
              <w:top w:type="dxa" w:w="70"/>
              <w:left w:type="dxa" w:w="120"/>
              <w:bottom w:type="dxa" w:w="70"/>
              <w:right w:type="dxa" w:w="120"/>
            </w:tcMar>
            <w:vAlign w:val="center"/>
          </w:tcPr>
          <w:p>
            <w:r>
              <w:rPr>
                <w:sz w:val="19"/>
                <w:szCs w:val="19"/>
              </w:rPr>
              <w:t xml:space="preserve">101 / INH_1DA7014S_03 / T90</w:t>
            </w:r>
          </w:p>
        </w:tc>
        <w:tc>
          <w:tcPr>
            <w:tcW w:type="dxa" w:w="2238"/>
            <w:shd w:fill="FFFFFF" w:val="clear"/>
            <w:tcMar>
              <w:top w:type="dxa" w:w="70"/>
              <w:left w:type="dxa" w:w="120"/>
              <w:bottom w:type="dxa" w:w="70"/>
              <w:right w:type="dxa" w:w="120"/>
            </w:tcMar>
            <w:vAlign w:val="center"/>
          </w:tcPr>
          <w:p>
            <w:r>
              <w:rPr>
                <w:sz w:val="19"/>
                <w:szCs w:val="19"/>
              </w:rPr>
              <w:t xml:space="preserve">성별(C2: 계·남자·여자), 시도별 코드 체계가 인구표와 다름</w:t>
            </w:r>
          </w:p>
        </w:tc>
      </w:tr>
      <w:tr>
        <w:tc>
          <w:tcPr>
            <w:tcW w:type="dxa" w:w="3200"/>
            <w:shd w:fill="F2F2F2" w:val="clear"/>
            <w:tcMar>
              <w:top w:type="dxa" w:w="70"/>
              <w:left w:type="dxa" w:w="120"/>
              <w:bottom w:type="dxa" w:w="70"/>
              <w:right w:type="dxa" w:w="120"/>
            </w:tcMar>
            <w:vAlign w:val="center"/>
          </w:tcPr>
          <w:p>
            <w:r>
              <w:rPr>
                <w:sz w:val="19"/>
                <w:szCs w:val="19"/>
              </w:rPr>
              <w:t xml:space="preserve">행정구역(시도)/성별 실업률</w:t>
            </w:r>
          </w:p>
        </w:tc>
        <w:tc>
          <w:tcPr>
            <w:tcW w:type="dxa" w:w="4200"/>
            <w:shd w:fill="F2F2F2" w:val="clear"/>
            <w:tcMar>
              <w:top w:type="dxa" w:w="70"/>
              <w:left w:type="dxa" w:w="120"/>
              <w:bottom w:type="dxa" w:w="70"/>
              <w:right w:type="dxa" w:w="120"/>
            </w:tcMar>
            <w:vAlign w:val="center"/>
          </w:tcPr>
          <w:p>
            <w:r>
              <w:rPr>
                <w:sz w:val="19"/>
                <w:szCs w:val="19"/>
              </w:rPr>
              <w:t xml:space="preserve">101 / DT_1DA7104S / T80</w:t>
            </w:r>
          </w:p>
        </w:tc>
        <w:tc>
          <w:tcPr>
            <w:tcW w:type="dxa" w:w="2238"/>
            <w:shd w:fill="F2F2F2" w:val="clear"/>
            <w:tcMar>
              <w:top w:type="dxa" w:w="70"/>
              <w:left w:type="dxa" w:w="120"/>
              <w:bottom w:type="dxa" w:w="70"/>
              <w:right w:type="dxa" w:w="120"/>
            </w:tcMar>
            <w:vAlign w:val="center"/>
          </w:tcPr>
          <w:p>
            <w:r>
              <w:rPr>
                <w:sz w:val="19"/>
                <w:szCs w:val="19"/>
              </w:rPr>
              <w:t xml:space="preserve">성별(C2: 계·남자·여자)</w:t>
            </w:r>
          </w:p>
        </w:tc>
      </w:tr>
    </w:tbl>
    <w:p>
      <w:pPr>
        <w:pBdr>
          <w:left w:val="single" w:color="C0510A" w:sz="18" w:space="6"/>
        </w:pBdr>
        <w:shd w:fill="FFF3E0" w:val="clear"/>
        <w:spacing w:after="160"/>
        <w:ind w:left="120"/>
      </w:pPr>
      <w:r>
        <w:rPr>
          <w:i/>
          <w:iCs/>
          <w:color w:val="5C3A00"/>
          <w:sz w:val="20"/>
          <w:szCs w:val="20"/>
        </w:rPr>
        <w:t xml:space="preserve">같은 시도를 가리켜도 통계표마다 지역 분류 코드(C1)가 다를 수 있습니다. 예를 들어 인구 통계표에서 부산은 코드 “26”이었지만, 고용·실업률 표에서는 “21”이었습니다. 코드는 표마다 반드시 별도로 확인해야 하며, 코드 숫자만 보고 지역을 짐작하면 안 됩니다.</w:t>
      </w:r>
    </w:p>
    <w:p>
      <w:pPr>
        <w:pStyle w:val="Heading2"/>
        <w:spacing w:after="120" w:before="280"/>
      </w:pPr>
      <w:r>
        <w:rPr>
          <w:b/>
          <w:bCs/>
          <w:color w:val="1F3864"/>
          <w:sz w:val="24"/>
          <w:szCs w:val="24"/>
        </w:rPr>
        <w:t xml:space="preserve">6.2 행정구역 개편 대응 — “신·구 방식 병존” 사례</w:t>
      </w:r>
    </w:p>
    <w:p>
      <w:pPr>
        <w:spacing w:after="120"/>
      </w:pPr>
      <w:r>
        <w:rPr>
          <w:sz w:val="21"/>
          <w:szCs w:val="21"/>
        </w:rPr>
        <w:t xml:space="preserve">실업률 표에서는 실습①과 다른 패턴이 나타났습니다. “전남광주통합특별시”, “광주광역시”, “전라남도”가 2026년 6~8월 동일 기간에 모두 존재했습니다. 실제 수치(2026년 8월)를 확인해 보니 전남광주통합특별시 1.9%는 광주광역시 2.0%와 전라남도 1.8%의 사이 값으로, 단순 중복이 아니라 통합 지역 기준으로 다시 계산된 값이었습니다. 표본조사 기반 통계(경제활동인구조사)는 신·구 행정구역 값을 한동안 병행 제공하는 반면, 주민등록 인구처럼 행정 등록 기반 통계는 개편 시점에 완전히 전환된다는 차이를 확인한 사례입니다. 지역별 비교 시에는 광주광역시·전라남도를 제외하고 전남광주통합특별시만 사용해 이중 집계를 방지했습니다.</w:t>
      </w:r>
    </w:p>
    <w:p>
      <w:pPr>
        <w:pStyle w:val="Heading2"/>
        <w:spacing w:after="120" w:before="280"/>
      </w:pPr>
      <w:r>
        <w:rPr>
          <w:b/>
          <w:bCs/>
          <w:color w:val="1F3864"/>
          <w:sz w:val="24"/>
          <w:szCs w:val="24"/>
        </w:rPr>
        <w:t xml:space="preserve">6.3 결과 — 시도별 고용률·실업률 (2026년 8월)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938"/>
      </w:tblGrid>
      <w:tr>
        <w:trPr>
          <w:tblHeader/>
        </w:trPr>
        <w:tc>
          <w:tcPr>
            <w:tcW w:type="dxa" w:w="4200"/>
            <w:shd w:fill="1F3864" w:val="clear"/>
            <w:tcMar>
              <w:top w:type="dxa" w:w="80"/>
              <w:left w:type="dxa" w:w="120"/>
              <w:bottom w:type="dxa" w:w="80"/>
              <w:right w:type="dxa" w:w="120"/>
            </w:tcMar>
            <w:vAlign w:val="center"/>
          </w:tcPr>
          <w:p>
            <w:pPr>
              <w:jc w:val="left"/>
            </w:pPr>
            <w:r>
              <w:rPr>
                <w:b/>
                <w:bCs/>
                <w:color w:val="FFFFFF"/>
                <w:sz w:val="19"/>
                <w:szCs w:val="19"/>
              </w:rPr>
              <w:t xml:space="preserve">지역</w:t>
            </w:r>
          </w:p>
        </w:tc>
        <w:tc>
          <w:tcPr>
            <w:tcW w:type="dxa" w:w="2500"/>
            <w:shd w:fill="1F3864" w:val="clear"/>
            <w:tcMar>
              <w:top w:type="dxa" w:w="80"/>
              <w:left w:type="dxa" w:w="120"/>
              <w:bottom w:type="dxa" w:w="80"/>
              <w:right w:type="dxa" w:w="120"/>
            </w:tcMar>
            <w:vAlign w:val="center"/>
          </w:tcPr>
          <w:p>
            <w:pPr>
              <w:jc w:val="left"/>
            </w:pPr>
            <w:r>
              <w:rPr>
                <w:b/>
                <w:bCs/>
                <w:color w:val="FFFFFF"/>
                <w:sz w:val="19"/>
                <w:szCs w:val="19"/>
              </w:rPr>
              <w:t xml:space="preserve">고용률(%)</w:t>
            </w:r>
          </w:p>
        </w:tc>
        <w:tc>
          <w:tcPr>
            <w:tcW w:type="dxa" w:w="2938"/>
            <w:shd w:fill="1F3864" w:val="clear"/>
            <w:tcMar>
              <w:top w:type="dxa" w:w="80"/>
              <w:left w:type="dxa" w:w="120"/>
              <w:bottom w:type="dxa" w:w="80"/>
              <w:right w:type="dxa" w:w="120"/>
            </w:tcMar>
            <w:vAlign w:val="center"/>
          </w:tcPr>
          <w:p>
            <w:pPr>
              <w:jc w:val="left"/>
            </w:pPr>
            <w:r>
              <w:rPr>
                <w:b/>
                <w:bCs/>
                <w:color w:val="FFFFFF"/>
                <w:sz w:val="19"/>
                <w:szCs w:val="19"/>
              </w:rPr>
              <w:t xml:space="preserve">실업률(%)</w:t>
            </w:r>
          </w:p>
        </w:tc>
      </w:tr>
      <w:tr>
        <w:tc>
          <w:tcPr>
            <w:tcW w:type="dxa" w:w="4200"/>
            <w:shd w:fill="FFFFFF" w:val="clear"/>
            <w:tcMar>
              <w:top w:type="dxa" w:w="70"/>
              <w:left w:type="dxa" w:w="120"/>
              <w:bottom w:type="dxa" w:w="70"/>
              <w:right w:type="dxa" w:w="120"/>
            </w:tcMar>
            <w:vAlign w:val="center"/>
          </w:tcPr>
          <w:p>
            <w:r>
              <w:rPr>
                <w:sz w:val="19"/>
                <w:szCs w:val="19"/>
              </w:rPr>
              <w:t xml:space="preserve">서울특별시</w:t>
            </w:r>
          </w:p>
        </w:tc>
        <w:tc>
          <w:tcPr>
            <w:tcW w:type="dxa" w:w="2500"/>
            <w:shd w:fill="FFFFFF" w:val="clear"/>
            <w:tcMar>
              <w:top w:type="dxa" w:w="70"/>
              <w:left w:type="dxa" w:w="120"/>
              <w:bottom w:type="dxa" w:w="70"/>
              <w:right w:type="dxa" w:w="120"/>
            </w:tcMar>
            <w:vAlign w:val="center"/>
          </w:tcPr>
          <w:p>
            <w:r>
              <w:rPr>
                <w:sz w:val="19"/>
                <w:szCs w:val="19"/>
              </w:rPr>
              <w:t xml:space="preserve">61.9</w:t>
            </w:r>
          </w:p>
        </w:tc>
        <w:tc>
          <w:tcPr>
            <w:tcW w:type="dxa" w:w="2938"/>
            <w:shd w:fill="FFFFFF" w:val="clear"/>
            <w:tcMar>
              <w:top w:type="dxa" w:w="70"/>
              <w:left w:type="dxa" w:w="120"/>
              <w:bottom w:type="dxa" w:w="70"/>
              <w:right w:type="dxa" w:w="120"/>
            </w:tcMar>
            <w:vAlign w:val="center"/>
          </w:tcPr>
          <w:p>
            <w:r>
              <w:rPr>
                <w:sz w:val="19"/>
                <w:szCs w:val="19"/>
              </w:rPr>
              <w:t xml:space="preserve">2.7</w:t>
            </w:r>
          </w:p>
        </w:tc>
      </w:tr>
      <w:tr>
        <w:tc>
          <w:tcPr>
            <w:tcW w:type="dxa" w:w="4200"/>
            <w:shd w:fill="F2F2F2" w:val="clear"/>
            <w:tcMar>
              <w:top w:type="dxa" w:w="70"/>
              <w:left w:type="dxa" w:w="120"/>
              <w:bottom w:type="dxa" w:w="70"/>
              <w:right w:type="dxa" w:w="120"/>
            </w:tcMar>
            <w:vAlign w:val="center"/>
          </w:tcPr>
          <w:p>
            <w:r>
              <w:rPr>
                <w:sz w:val="19"/>
                <w:szCs w:val="19"/>
              </w:rPr>
              <w:t xml:space="preserve">울산광역시</w:t>
            </w:r>
          </w:p>
        </w:tc>
        <w:tc>
          <w:tcPr>
            <w:tcW w:type="dxa" w:w="2500"/>
            <w:shd w:fill="F2F2F2" w:val="clear"/>
            <w:tcMar>
              <w:top w:type="dxa" w:w="70"/>
              <w:left w:type="dxa" w:w="120"/>
              <w:bottom w:type="dxa" w:w="70"/>
              <w:right w:type="dxa" w:w="120"/>
            </w:tcMar>
            <w:vAlign w:val="center"/>
          </w:tcPr>
          <w:p>
            <w:r>
              <w:rPr>
                <w:sz w:val="19"/>
                <w:szCs w:val="19"/>
              </w:rPr>
              <w:t xml:space="preserve">60.4</w:t>
            </w:r>
          </w:p>
        </w:tc>
        <w:tc>
          <w:tcPr>
            <w:tcW w:type="dxa" w:w="2938"/>
            <w:shd w:fill="F2F2F2" w:val="clear"/>
            <w:tcMar>
              <w:top w:type="dxa" w:w="70"/>
              <w:left w:type="dxa" w:w="120"/>
              <w:bottom w:type="dxa" w:w="70"/>
              <w:right w:type="dxa" w:w="120"/>
            </w:tcMar>
            <w:vAlign w:val="center"/>
          </w:tcPr>
          <w:p>
            <w:r>
              <w:rPr>
                <w:sz w:val="19"/>
                <w:szCs w:val="19"/>
              </w:rPr>
              <w:t xml:space="preserve">2.6</w:t>
            </w:r>
          </w:p>
        </w:tc>
      </w:tr>
      <w:tr>
        <w:tc>
          <w:tcPr>
            <w:tcW w:type="dxa" w:w="4200"/>
            <w:shd w:fill="FFFFFF" w:val="clear"/>
            <w:tcMar>
              <w:top w:type="dxa" w:w="70"/>
              <w:left w:type="dxa" w:w="120"/>
              <w:bottom w:type="dxa" w:w="70"/>
              <w:right w:type="dxa" w:w="120"/>
            </w:tcMar>
            <w:vAlign w:val="center"/>
          </w:tcPr>
          <w:p>
            <w:r>
              <w:rPr>
                <w:sz w:val="19"/>
                <w:szCs w:val="19"/>
              </w:rPr>
              <w:t xml:space="preserve">인천광역시</w:t>
            </w:r>
          </w:p>
        </w:tc>
        <w:tc>
          <w:tcPr>
            <w:tcW w:type="dxa" w:w="2500"/>
            <w:shd w:fill="FFFFFF" w:val="clear"/>
            <w:tcMar>
              <w:top w:type="dxa" w:w="70"/>
              <w:left w:type="dxa" w:w="120"/>
              <w:bottom w:type="dxa" w:w="70"/>
              <w:right w:type="dxa" w:w="120"/>
            </w:tcMar>
            <w:vAlign w:val="center"/>
          </w:tcPr>
          <w:p>
            <w:r>
              <w:rPr>
                <w:sz w:val="19"/>
                <w:szCs w:val="19"/>
              </w:rPr>
              <w:t xml:space="preserve">63.2</w:t>
            </w:r>
          </w:p>
        </w:tc>
        <w:tc>
          <w:tcPr>
            <w:tcW w:type="dxa" w:w="2938"/>
            <w:shd w:fill="FFFFFF" w:val="clear"/>
            <w:tcMar>
              <w:top w:type="dxa" w:w="70"/>
              <w:left w:type="dxa" w:w="120"/>
              <w:bottom w:type="dxa" w:w="70"/>
              <w:right w:type="dxa" w:w="120"/>
            </w:tcMar>
            <w:vAlign w:val="center"/>
          </w:tcPr>
          <w:p>
            <w:r>
              <w:rPr>
                <w:sz w:val="19"/>
                <w:szCs w:val="19"/>
              </w:rPr>
              <w:t xml:space="preserve">2.4</w:t>
            </w:r>
          </w:p>
        </w:tc>
      </w:tr>
      <w:tr>
        <w:tc>
          <w:tcPr>
            <w:tcW w:type="dxa" w:w="4200"/>
            <w:shd w:fill="F2F2F2" w:val="clear"/>
            <w:tcMar>
              <w:top w:type="dxa" w:w="70"/>
              <w:left w:type="dxa" w:w="120"/>
              <w:bottom w:type="dxa" w:w="70"/>
              <w:right w:type="dxa" w:w="120"/>
            </w:tcMar>
            <w:vAlign w:val="center"/>
          </w:tcPr>
          <w:p>
            <w:r>
              <w:rPr>
                <w:sz w:val="19"/>
                <w:szCs w:val="19"/>
              </w:rPr>
              <w:t xml:space="preserve">경기도</w:t>
            </w:r>
          </w:p>
        </w:tc>
        <w:tc>
          <w:tcPr>
            <w:tcW w:type="dxa" w:w="2500"/>
            <w:shd w:fill="F2F2F2" w:val="clear"/>
            <w:tcMar>
              <w:top w:type="dxa" w:w="70"/>
              <w:left w:type="dxa" w:w="120"/>
              <w:bottom w:type="dxa" w:w="70"/>
              <w:right w:type="dxa" w:w="120"/>
            </w:tcMar>
            <w:vAlign w:val="center"/>
          </w:tcPr>
          <w:p>
            <w:r>
              <w:rPr>
                <w:sz w:val="19"/>
                <w:szCs w:val="19"/>
              </w:rPr>
              <w:t xml:space="preserve">64.1</w:t>
            </w:r>
          </w:p>
        </w:tc>
        <w:tc>
          <w:tcPr>
            <w:tcW w:type="dxa" w:w="2938"/>
            <w:shd w:fill="F2F2F2" w:val="clear"/>
            <w:tcMar>
              <w:top w:type="dxa" w:w="70"/>
              <w:left w:type="dxa" w:w="120"/>
              <w:bottom w:type="dxa" w:w="70"/>
              <w:right w:type="dxa" w:w="120"/>
            </w:tcMar>
            <w:vAlign w:val="center"/>
          </w:tcPr>
          <w:p>
            <w:r>
              <w:rPr>
                <w:sz w:val="19"/>
                <w:szCs w:val="19"/>
              </w:rPr>
              <w:t xml:space="preserve">2.2</w:t>
            </w:r>
          </w:p>
        </w:tc>
      </w:tr>
      <w:tr>
        <w:tc>
          <w:tcPr>
            <w:tcW w:type="dxa" w:w="4200"/>
            <w:shd w:fill="FFFFFF" w:val="clear"/>
            <w:tcMar>
              <w:top w:type="dxa" w:w="70"/>
              <w:left w:type="dxa" w:w="120"/>
              <w:bottom w:type="dxa" w:w="70"/>
              <w:right w:type="dxa" w:w="120"/>
            </w:tcMar>
            <w:vAlign w:val="center"/>
          </w:tcPr>
          <w:p>
            <w:r>
              <w:rPr>
                <w:sz w:val="19"/>
                <w:szCs w:val="19"/>
              </w:rPr>
              <w:t xml:space="preserve">전남광주통합특별시</w:t>
            </w:r>
          </w:p>
        </w:tc>
        <w:tc>
          <w:tcPr>
            <w:tcW w:type="dxa" w:w="2500"/>
            <w:shd w:fill="FFFFFF" w:val="clear"/>
            <w:tcMar>
              <w:top w:type="dxa" w:w="70"/>
              <w:left w:type="dxa" w:w="120"/>
              <w:bottom w:type="dxa" w:w="70"/>
              <w:right w:type="dxa" w:w="120"/>
            </w:tcMar>
            <w:vAlign w:val="center"/>
          </w:tcPr>
          <w:p>
            <w:r>
              <w:rPr>
                <w:sz w:val="19"/>
                <w:szCs w:val="19"/>
              </w:rPr>
              <w:t xml:space="preserve">64.5</w:t>
            </w:r>
          </w:p>
        </w:tc>
        <w:tc>
          <w:tcPr>
            <w:tcW w:type="dxa" w:w="2938"/>
            <w:shd w:fill="FFFFFF" w:val="clear"/>
            <w:tcMar>
              <w:top w:type="dxa" w:w="70"/>
              <w:left w:type="dxa" w:w="120"/>
              <w:bottom w:type="dxa" w:w="70"/>
              <w:right w:type="dxa" w:w="120"/>
            </w:tcMar>
            <w:vAlign w:val="center"/>
          </w:tcPr>
          <w:p>
            <w:r>
              <w:rPr>
                <w:sz w:val="19"/>
                <w:szCs w:val="19"/>
              </w:rPr>
              <w:t xml:space="preserve">1.9</w:t>
            </w:r>
          </w:p>
        </w:tc>
      </w:tr>
      <w:tr>
        <w:tc>
          <w:tcPr>
            <w:tcW w:type="dxa" w:w="4200"/>
            <w:shd w:fill="F2F2F2" w:val="clear"/>
            <w:tcMar>
              <w:top w:type="dxa" w:w="70"/>
              <w:left w:type="dxa" w:w="120"/>
              <w:bottom w:type="dxa" w:w="70"/>
              <w:right w:type="dxa" w:w="120"/>
            </w:tcMar>
            <w:vAlign w:val="center"/>
          </w:tcPr>
          <w:p>
            <w:r>
              <w:rPr>
                <w:sz w:val="19"/>
                <w:szCs w:val="19"/>
              </w:rPr>
              <w:t xml:space="preserve">부산광역시</w:t>
            </w:r>
          </w:p>
        </w:tc>
        <w:tc>
          <w:tcPr>
            <w:tcW w:type="dxa" w:w="2500"/>
            <w:shd w:fill="F2F2F2" w:val="clear"/>
            <w:tcMar>
              <w:top w:type="dxa" w:w="70"/>
              <w:left w:type="dxa" w:w="120"/>
              <w:bottom w:type="dxa" w:w="70"/>
              <w:right w:type="dxa" w:w="120"/>
            </w:tcMar>
            <w:vAlign w:val="center"/>
          </w:tcPr>
          <w:p>
            <w:r>
              <w:rPr>
                <w:sz w:val="19"/>
                <w:szCs w:val="19"/>
              </w:rPr>
              <w:t xml:space="preserve">58.8</w:t>
            </w:r>
          </w:p>
        </w:tc>
        <w:tc>
          <w:tcPr>
            <w:tcW w:type="dxa" w:w="2938"/>
            <w:shd w:fill="F2F2F2" w:val="clear"/>
            <w:tcMar>
              <w:top w:type="dxa" w:w="70"/>
              <w:left w:type="dxa" w:w="120"/>
              <w:bottom w:type="dxa" w:w="70"/>
              <w:right w:type="dxa" w:w="120"/>
            </w:tcMar>
            <w:vAlign w:val="center"/>
          </w:tcPr>
          <w:p>
            <w:r>
              <w:rPr>
                <w:sz w:val="19"/>
                <w:szCs w:val="19"/>
              </w:rPr>
              <w:t xml:space="preserve">1.3</w:t>
            </w:r>
          </w:p>
        </w:tc>
      </w:tr>
      <w:tr>
        <w:tc>
          <w:tcPr>
            <w:tcW w:type="dxa" w:w="4200"/>
            <w:shd w:fill="FFFFFF" w:val="clear"/>
            <w:tcMar>
              <w:top w:type="dxa" w:w="70"/>
              <w:left w:type="dxa" w:w="120"/>
              <w:bottom w:type="dxa" w:w="70"/>
              <w:right w:type="dxa" w:w="120"/>
            </w:tcMar>
            <w:vAlign w:val="center"/>
          </w:tcPr>
          <w:p>
            <w:r>
              <w:rPr>
                <w:sz w:val="19"/>
                <w:szCs w:val="19"/>
              </w:rPr>
              <w:t xml:space="preserve">세종특별자치시</w:t>
            </w:r>
          </w:p>
        </w:tc>
        <w:tc>
          <w:tcPr>
            <w:tcW w:type="dxa" w:w="2500"/>
            <w:shd w:fill="FFFFFF" w:val="clear"/>
            <w:tcMar>
              <w:top w:type="dxa" w:w="70"/>
              <w:left w:type="dxa" w:w="120"/>
              <w:bottom w:type="dxa" w:w="70"/>
              <w:right w:type="dxa" w:w="120"/>
            </w:tcMar>
            <w:vAlign w:val="center"/>
          </w:tcPr>
          <w:p>
            <w:r>
              <w:rPr>
                <w:sz w:val="19"/>
                <w:szCs w:val="19"/>
              </w:rPr>
              <w:t xml:space="preserve">65.8</w:t>
            </w:r>
          </w:p>
        </w:tc>
        <w:tc>
          <w:tcPr>
            <w:tcW w:type="dxa" w:w="2938"/>
            <w:shd w:fill="FFFFFF" w:val="clear"/>
            <w:tcMar>
              <w:top w:type="dxa" w:w="70"/>
              <w:left w:type="dxa" w:w="120"/>
              <w:bottom w:type="dxa" w:w="70"/>
              <w:right w:type="dxa" w:w="120"/>
            </w:tcMar>
            <w:vAlign w:val="center"/>
          </w:tcPr>
          <w:p>
            <w:r>
              <w:rPr>
                <w:sz w:val="19"/>
                <w:szCs w:val="19"/>
              </w:rPr>
              <w:t xml:space="preserve">1.1</w:t>
            </w:r>
          </w:p>
        </w:tc>
      </w:tr>
      <w:tr>
        <w:tc>
          <w:tcPr>
            <w:tcW w:type="dxa" w:w="4200"/>
            <w:shd w:fill="F2F2F2" w:val="clear"/>
            <w:tcMar>
              <w:top w:type="dxa" w:w="70"/>
              <w:left w:type="dxa" w:w="120"/>
              <w:bottom w:type="dxa" w:w="70"/>
              <w:right w:type="dxa" w:w="120"/>
            </w:tcMar>
            <w:vAlign w:val="center"/>
          </w:tcPr>
          <w:p>
            <w:r>
              <w:rPr>
                <w:sz w:val="19"/>
                <w:szCs w:val="19"/>
              </w:rPr>
              <w:t xml:space="preserve">충청남도</w:t>
            </w:r>
          </w:p>
        </w:tc>
        <w:tc>
          <w:tcPr>
            <w:tcW w:type="dxa" w:w="2500"/>
            <w:shd w:fill="F2F2F2" w:val="clear"/>
            <w:tcMar>
              <w:top w:type="dxa" w:w="70"/>
              <w:left w:type="dxa" w:w="120"/>
              <w:bottom w:type="dxa" w:w="70"/>
              <w:right w:type="dxa" w:w="120"/>
            </w:tcMar>
            <w:vAlign w:val="center"/>
          </w:tcPr>
          <w:p>
            <w:r>
              <w:rPr>
                <w:sz w:val="19"/>
                <w:szCs w:val="19"/>
              </w:rPr>
              <w:t xml:space="preserve">67.3</w:t>
            </w:r>
          </w:p>
        </w:tc>
        <w:tc>
          <w:tcPr>
            <w:tcW w:type="dxa" w:w="2938"/>
            <w:shd w:fill="F2F2F2" w:val="clear"/>
            <w:tcMar>
              <w:top w:type="dxa" w:w="70"/>
              <w:left w:type="dxa" w:w="120"/>
              <w:bottom w:type="dxa" w:w="70"/>
              <w:right w:type="dxa" w:w="120"/>
            </w:tcMar>
            <w:vAlign w:val="center"/>
          </w:tcPr>
          <w:p>
            <w:r>
              <w:rPr>
                <w:sz w:val="19"/>
                <w:szCs w:val="19"/>
              </w:rPr>
              <w:t xml:space="preserve">0.5</w:t>
            </w:r>
          </w:p>
        </w:tc>
      </w:tr>
    </w:tbl>
    <w:p>
      <w:pPr>
        <w:pStyle w:val="Heading2"/>
        <w:spacing w:after="120" w:before="280"/>
      </w:pPr>
      <w:r>
        <w:rPr>
          <w:b/>
          <w:bCs/>
          <w:color w:val="1F3864"/>
          <w:sz w:val="24"/>
          <w:szCs w:val="24"/>
        </w:rPr>
        <w:t xml:space="preserve">6.4 분석 — 고용률과 실업률의 관계, 그리고 부산의 예외</w:t>
      </w:r>
    </w:p>
    <w:p>
      <w:pPr>
        <w:spacing w:after="120"/>
      </w:pPr>
      <w:r>
        <w:rPr>
          <w:sz w:val="21"/>
          <w:szCs w:val="21"/>
        </w:rPr>
        <w:t xml:space="preserve">고용률과 실업률의 상관계수는 -0.633으로, 고용률이 높을수록 실업률이 낮은 뚜렷한 음(-)의 관계가 확인되었습니다. 다만 부산광역시는 이 패턴에서 벗어났습니다 — 고용률이 가장 낮은 축(58.8%)인데 실업률도 낮은 편(1.3%)입니다.</w:t>
      </w:r>
    </w:p>
    <w:p>
      <w:pPr>
        <w:spacing w:after="60" w:before="120"/>
        <w:jc w:val="center"/>
      </w:pPr>
      <w:r>
        <w:drawing>
          <wp:inline distT="0" distB="0" distL="0" distR="0">
            <wp:extent cx="4191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24200"/>
                    </a:xfrm>
                    <a:prstGeom prst="rect">
                      <a:avLst/>
                    </a:prstGeom>
                  </pic:spPr>
                </pic:pic>
              </a:graphicData>
            </a:graphic>
          </wp:inline>
        </w:drawing>
      </w:r>
    </w:p>
    <w:p>
      <w:pPr>
        <w:spacing w:after="200"/>
        <w:jc w:val="center"/>
      </w:pPr>
      <w:r>
        <w:rPr>
          <w:i/>
          <w:iCs/>
          <w:color w:val="666666"/>
          <w:sz w:val="18"/>
          <w:szCs w:val="18"/>
        </w:rPr>
        <w:t xml:space="preserve">그림 4. 시도별 고용률과 실업률의 관계 (2026년 8월)</w:t>
      </w:r>
    </w:p>
    <w:p>
      <w:pPr>
        <w:pBdr>
          <w:left w:val="single" w:color="C0510A" w:sz="18" w:space="6"/>
        </w:pBdr>
        <w:shd w:fill="FFF3E0" w:val="clear"/>
        <w:spacing w:after="160"/>
        <w:ind w:left="120"/>
      </w:pPr>
      <w:r>
        <w:rPr>
          <w:i/>
          <w:iCs/>
          <w:color w:val="5C3A00"/>
          <w:sz w:val="20"/>
          <w:szCs w:val="20"/>
        </w:rPr>
        <w:t xml:space="preserve">실업률은 “경제활동인구(취업자+구직 중인 실업자)” 중 실업자의 비율입니다. 구직을 포기하고 노동시장 자체를 이탈한 사람(비경제활동인구)은 실업자로 집계되지 않습니다. 그래서 고용 사정이 좋지 않은 지역이 오히려 “실업률은 낮게” 나타나는 착시가 생길 수 있습니다. 이는 가설이며, 확정하려면 경제활동참가율 데이터까지 함께 확인해야 합니다 — 단일 지표의 정의를 제대로 이해해야 하는 이유를 보여주는 사례입니다.</w:t>
      </w:r>
    </w:p>
    <w:p>
      <w:pPr>
        <w:pStyle w:val="Heading1"/>
        <w:pBdr>
          <w:bottom w:val="single" w:color="1F3864" w:sz="8" w:space="4"/>
        </w:pBdr>
        <w:spacing w:after="160" w:before="360"/>
      </w:pPr>
      <w:r>
        <w:rPr>
          <w:b/>
          <w:bCs/>
          <w:color w:val="1F3864"/>
          <w:sz w:val="30"/>
          <w:szCs w:val="30"/>
        </w:rPr>
        <w:t xml:space="preserve">7. 실습③ — 1인가구 비중 추세 분석</w:t>
      </w:r>
    </w:p>
    <w:p>
      <w:pPr>
        <w:pStyle w:val="Heading2"/>
        <w:spacing w:after="120" w:before="280"/>
      </w:pPr>
      <w:r>
        <w:rPr>
          <w:b/>
          <w:bCs/>
          <w:color w:val="1F3864"/>
          <w:sz w:val="24"/>
          <w:szCs w:val="24"/>
        </w:rPr>
        <w:t xml:space="preserve">7.1 탐색 과정 — 유사해 보이는 통계명의 함정</w:t>
      </w:r>
    </w:p>
    <w:p>
      <w:pPr>
        <w:spacing w:after="120"/>
      </w:pPr>
      <w:r>
        <w:rPr>
          <w:sz w:val="21"/>
          <w:szCs w:val="21"/>
        </w:rPr>
        <w:t xml:space="preserve">처음에는 가상의 리포트 주제로 “반려동물 등록 수 vs 출생아 수” 비교를 검토했으나, “시도별 반려동물 등록현황”이라는 이름의 데이터가 실제로는 완주군·대구 달서구·광주 남구 등 개별 지자체가 각각 올린 파편화된 자료일 뿐, 전국 단위로 비교 가능한 통계가 아님을 확인하고 폐기했습니다.</w:t>
      </w:r>
    </w:p>
    <w:p>
      <w:pPr>
        <w:spacing w:after="120"/>
      </w:pPr>
      <w:r>
        <w:rPr>
          <w:sz w:val="21"/>
          <w:szCs w:val="21"/>
        </w:rPr>
        <w:t xml:space="preserve">이어서 “세대원수별 세대수”(행정안전부, orgId=201) 통계도 검토했으나, 검색 결과 서울·부산·대구 등 일부 지자체 표만 개별적으로 존재할 뿐 전국 시도 단위로 일관되게 제공되는 표가 아니었습니다.</w:t>
      </w:r>
    </w:p>
    <w:p>
      <w:pPr>
        <w:pBdr>
          <w:left w:val="single" w:color="C0510A" w:sz="18" w:space="6"/>
        </w:pBdr>
        <w:shd w:fill="FFF3E0" w:val="clear"/>
        <w:spacing w:after="160"/>
        <w:ind w:left="120"/>
      </w:pPr>
      <w:r>
        <w:rPr>
          <w:i/>
          <w:iCs/>
          <w:color w:val="5C3A00"/>
          <w:sz w:val="20"/>
          <w:szCs w:val="20"/>
        </w:rPr>
        <w:t xml:space="preserve">통계명이 그럴듯해 보여도 실제 지역 커버리지(전국 집계인지, 개별 지자체 업로드인지)를 반드시 확인해야 합니다 — 같은 함정이 이번 실습에서 두 번 반복해서 나타났습니다.</w:t>
      </w:r>
    </w:p>
    <w:p>
      <w:pPr>
        <w:spacing w:after="120"/>
      </w:pPr>
      <w:r>
        <w:rPr>
          <w:sz w:val="21"/>
          <w:szCs w:val="21"/>
        </w:rPr>
        <w:t xml:space="preserve">결국 인구총조사 계열(orgId=101) 표로 전환한 뒤에야 전국 시도 단위로 일관되게 비교 가능한 데이터를 확보했습니다.</w:t>
      </w:r>
    </w:p>
    <w:p>
      <w:pPr>
        <w:pStyle w:val="Heading2"/>
        <w:spacing w:after="120" w:before="280"/>
      </w:pPr>
      <w:r>
        <w:rPr>
          <w:b/>
          <w:bCs/>
          <w:color w:val="1F3864"/>
          <w:sz w:val="24"/>
          <w:szCs w:val="24"/>
        </w:rPr>
        <w:t xml:space="preserve">7.2 사용한 통계표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orgId / tblId</w:t>
            </w:r>
          </w:p>
        </w:tc>
        <w:tc>
          <w:tcPr>
            <w:tcW w:type="dxa" w:w="3438"/>
            <w:shd w:fill="1F3864" w:val="clear"/>
            <w:tcMar>
              <w:top w:type="dxa" w:w="80"/>
              <w:left w:type="dxa" w:w="120"/>
              <w:bottom w:type="dxa" w:w="80"/>
              <w:right w:type="dxa" w:w="120"/>
            </w:tcMar>
            <w:vAlign w:val="center"/>
          </w:tcPr>
          <w:p>
            <w:pPr>
              <w:jc w:val="left"/>
            </w:pPr>
            <w:r>
              <w:rPr>
                <w:b/>
                <w:bCs/>
                <w:color w:val="FFFFFF"/>
                <w:sz w:val="19"/>
                <w:szCs w:val="19"/>
              </w:rPr>
              <w:t xml:space="preserve">비고</w:t>
            </w:r>
          </w:p>
        </w:tc>
      </w:tr>
      <w:tr>
        <w:tc>
          <w:tcPr>
            <w:tcW w:type="dxa" w:w="3600"/>
            <w:shd w:fill="FFFFFF" w:val="clear"/>
            <w:tcMar>
              <w:top w:type="dxa" w:w="70"/>
              <w:left w:type="dxa" w:w="120"/>
              <w:bottom w:type="dxa" w:w="70"/>
              <w:right w:type="dxa" w:w="120"/>
            </w:tcMar>
            <w:vAlign w:val="center"/>
          </w:tcPr>
          <w:p>
            <w:r>
              <w:rPr>
                <w:sz w:val="19"/>
                <w:szCs w:val="19"/>
              </w:rPr>
              <w:t xml:space="preserve">성 및 연령별 1인가구 - 시도</w:t>
            </w:r>
          </w:p>
        </w:tc>
        <w:tc>
          <w:tcPr>
            <w:tcW w:type="dxa" w:w="2600"/>
            <w:shd w:fill="FFFFFF" w:val="clear"/>
            <w:tcMar>
              <w:top w:type="dxa" w:w="70"/>
              <w:left w:type="dxa" w:w="120"/>
              <w:bottom w:type="dxa" w:w="70"/>
              <w:right w:type="dxa" w:w="120"/>
            </w:tcMar>
            <w:vAlign w:val="center"/>
          </w:tcPr>
          <w:p>
            <w:r>
              <w:rPr>
                <w:sz w:val="19"/>
                <w:szCs w:val="19"/>
              </w:rPr>
              <w:t xml:space="preserve">101 / DT_1PL1502</w:t>
            </w:r>
          </w:p>
        </w:tc>
        <w:tc>
          <w:tcPr>
            <w:tcW w:type="dxa" w:w="3438"/>
            <w:shd w:fill="FFFFFF" w:val="clear"/>
            <w:tcMar>
              <w:top w:type="dxa" w:w="70"/>
              <w:left w:type="dxa" w:w="120"/>
              <w:bottom w:type="dxa" w:w="70"/>
              <w:right w:type="dxa" w:w="120"/>
            </w:tcMar>
            <w:vAlign w:val="center"/>
          </w:tcPr>
          <w:p>
            <w:r>
              <w:rPr>
                <w:sz w:val="19"/>
                <w:szCs w:val="19"/>
              </w:rPr>
              <w:t xml:space="preserve">1인가구 수(성별 T00/T10/T20)×연령(C2) — 교차검증용</w:t>
            </w:r>
          </w:p>
        </w:tc>
      </w:tr>
      <w:tr>
        <w:tc>
          <w:tcPr>
            <w:tcW w:type="dxa" w:w="3600"/>
            <w:shd w:fill="F2F2F2" w:val="clear"/>
            <w:tcMar>
              <w:top w:type="dxa" w:w="70"/>
              <w:left w:type="dxa" w:w="120"/>
              <w:bottom w:type="dxa" w:w="70"/>
              <w:right w:type="dxa" w:w="120"/>
            </w:tcMar>
            <w:vAlign w:val="center"/>
          </w:tcPr>
          <w:p>
            <w:r>
              <w:rPr>
                <w:sz w:val="19"/>
                <w:szCs w:val="19"/>
              </w:rPr>
              <w:t xml:space="preserve">가구원수별 가구 - 읍면동</w:t>
            </w:r>
          </w:p>
        </w:tc>
        <w:tc>
          <w:tcPr>
            <w:tcW w:type="dxa" w:w="2600"/>
            <w:shd w:fill="F2F2F2" w:val="clear"/>
            <w:tcMar>
              <w:top w:type="dxa" w:w="70"/>
              <w:left w:type="dxa" w:w="120"/>
              <w:bottom w:type="dxa" w:w="70"/>
              <w:right w:type="dxa" w:w="120"/>
            </w:tcMar>
            <w:vAlign w:val="center"/>
          </w:tcPr>
          <w:p>
            <w:r>
              <w:rPr>
                <w:sz w:val="19"/>
                <w:szCs w:val="19"/>
              </w:rPr>
              <w:t xml:space="preserve">101 / DT_1JC1502</w:t>
            </w:r>
          </w:p>
        </w:tc>
        <w:tc>
          <w:tcPr>
            <w:tcW w:type="dxa" w:w="3438"/>
            <w:shd w:fill="F2F2F2" w:val="clear"/>
            <w:tcMar>
              <w:top w:type="dxa" w:w="70"/>
              <w:left w:type="dxa" w:w="120"/>
              <w:bottom w:type="dxa" w:w="70"/>
              <w:right w:type="dxa" w:w="120"/>
            </w:tcMar>
            <w:vAlign w:val="center"/>
          </w:tcPr>
          <w:p>
            <w:r>
              <w:rPr>
                <w:sz w:val="19"/>
                <w:szCs w:val="19"/>
              </w:rPr>
              <w:t xml:space="preserve">일반가구_계(T0)·1인가구(T1) 등 가구원수별 가구 — 최종 분석에 사용</w:t>
            </w:r>
          </w:p>
        </w:tc>
      </w:tr>
    </w:tbl>
    <w:p>
      <w:pPr>
        <w:pStyle w:val="Heading2"/>
        <w:spacing w:after="120" w:before="280"/>
      </w:pPr>
      <w:r>
        <w:rPr>
          <w:b/>
          <w:bCs/>
          <w:color w:val="1F3864"/>
          <w:sz w:val="24"/>
          <w:szCs w:val="24"/>
        </w:rPr>
        <w:t xml:space="preserve">7.3 데이터 정합성 검증</w:t>
      </w:r>
    </w:p>
    <w:p>
      <w:pPr>
        <w:spacing w:after="120"/>
      </w:pPr>
      <w:r>
        <w:rPr>
          <w:sz w:val="21"/>
          <w:szCs w:val="21"/>
        </w:rPr>
        <w:t xml:space="preserve">분석 전, 두 표 모두 전국+17개 시도(21개 지역코드 — 00/03/04/05 포함) × 2015~2025년(11개년) 구간에 결측 없이 완전한지 먼저 확인했습니다. 행 개수를 역산(지역수×분류수×연도수)해 격자가 맞는지 검증하고, groupby로 지역별 연도 수가 모두 11개인지 재확인했습니다.</w:t>
      </w:r>
    </w:p>
    <w:p>
      <w:pPr>
        <w:spacing w:after="120"/>
      </w:pPr>
      <w:r>
        <w:rPr>
          <w:sz w:val="21"/>
          <w:szCs w:val="21"/>
        </w:rPr>
        <w:t xml:space="preserve">두 표는 서로 다른 통계표인데도 2025년 전국 1인가구 수가 8,244,308명으로 정확히 일치해 교차검증에 성공했습니다.</w:t>
      </w:r>
    </w:p>
    <w:p>
      <w:pPr>
        <w:pBdr>
          <w:left w:val="single" w:color="C0510A" w:sz="18" w:space="6"/>
        </w:pBdr>
        <w:shd w:fill="FFF3E0" w:val="clear"/>
        <w:spacing w:after="160"/>
        <w:ind w:left="120"/>
      </w:pPr>
      <w:r>
        <w:rPr>
          <w:i/>
          <w:iCs/>
          <w:color w:val="5C3A00"/>
          <w:sz w:val="20"/>
          <w:szCs w:val="20"/>
        </w:rPr>
        <w:t xml:space="preserve">DT_1JC1502의 itmId는 T0~T8까지 9개 항목인데, T8(“6인 이상”)은 T6(“6인”)+T7(“7인 이상”)과 중복되는 집계 항목입니다. 전체 합산 시 이중 계산 위험이 있으나, 이번 분석은 T0(총가구)·T1(1인가구)만 사용하므로 실제 영향은 없습니다.</w:t>
      </w:r>
    </w:p>
    <w:p>
      <w:pPr>
        <w:pStyle w:val="Heading2"/>
        <w:spacing w:after="120" w:before="280"/>
      </w:pPr>
      <w:r>
        <w:rPr>
          <w:b/>
          <w:bCs/>
          <w:color w:val="1F3864"/>
          <w:sz w:val="24"/>
          <w:szCs w:val="24"/>
        </w:rPr>
        <w:t xml:space="preserve">7.4 행정구역명 변경 대응</w:t>
      </w:r>
    </w:p>
    <w:p>
      <w:pPr>
        <w:spacing w:after="120"/>
      </w:pPr>
      <w:r>
        <w:rPr>
          <w:sz w:val="21"/>
          <w:szCs w:val="21"/>
        </w:rPr>
        <w:t xml:space="preserve">강원도→강원특별자치도(2023), 전라북도→전북특별자치도(2024) 개편으로, 같은 지역코드(C1)인데도 연도에 따라 명칭(C1_NM) 표기가 다르게 기록되어 있었습니다.</w:t>
      </w:r>
    </w:p>
    <w:p>
      <w:pPr>
        <w:spacing w:after="120"/>
      </w:pPr>
      <w:r>
        <w:rPr>
          <w:sz w:val="21"/>
          <w:szCs w:val="21"/>
        </w:rPr>
        <w:t xml:space="preserve">지역명(C1_NM) 기준으로 피벗 테이블을 만들자 신·구 명칭이 서로 다른 범주로 분리되며 ValueError: Index contains duplicate entries, cannot reshape 오류가 발생했습니다.</w:t>
      </w:r>
    </w:p>
    <w:p>
      <w:pPr>
        <w:pBdr>
          <w:left w:val="single" w:color="C0510A" w:sz="18" w:space="6"/>
        </w:pBdr>
        <w:shd w:fill="FFF3E0" w:val="clear"/>
        <w:spacing w:after="160"/>
        <w:ind w:left="120"/>
      </w:pPr>
      <w:r>
        <w:rPr>
          <w:i/>
          <w:iCs/>
          <w:color w:val="5C3A00"/>
          <w:sz w:val="20"/>
          <w:szCs w:val="20"/>
        </w:rPr>
        <w:t xml:space="preserve">해결책은 명칭 대신 지역코드(C1)를 기준으로 고정된 매핑표를 만들어 사용하는 것이었습니다. 행정구역 개편은 이번 과정에서 세 번째로 마주친 유형의 문제이며, 코드(ID) 기준으로 데이터를 다루고 명칭은 표시에만 사용하는 습관이 왜 중요한지 보여줍니다.</w:t>
      </w:r>
    </w:p>
    <w:p>
      <w:pPr>
        <w:pStyle w:val="Heading2"/>
        <w:spacing w:after="120" w:before="280"/>
      </w:pPr>
      <w:r>
        <w:rPr>
          <w:b/>
          <w:bCs/>
          <w:color w:val="1F3864"/>
          <w:sz w:val="24"/>
          <w:szCs w:val="24"/>
        </w:rPr>
        <w:t xml:space="preserve">7.5 결과 — 전국 1인가구 비중 추세</w:t>
      </w:r>
    </w:p>
    <w:p>
      <w:pPr>
        <w:spacing w:after="120"/>
      </w:pPr>
      <w:r>
        <w:rPr>
          <w:sz w:val="21"/>
          <w:szCs w:val="21"/>
        </w:rPr>
        <w:t xml:space="preserve">전국 1인가구 비중은 2015년 27.2%에서 2025년 36.6%로, 11년간 9.4%p 상승했습니다. 특히 2019~2021년 구간에서 상승폭이 더 커졌습니다(30.2%→31.7%→33.4%).</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i/>
          <w:iCs/>
          <w:color w:val="666666"/>
          <w:sz w:val="18"/>
          <w:szCs w:val="18"/>
        </w:rPr>
        <w:t xml:space="preserve">그림 5. 전국 1인가구 비중 추세 (2015~2025)</w:t>
      </w:r>
    </w:p>
    <w:p>
      <w:pPr>
        <w:pStyle w:val="Heading2"/>
        <w:spacing w:after="120" w:before="280"/>
      </w:pPr>
      <w:r>
        <w:rPr>
          <w:b/>
          <w:bCs/>
          <w:color w:val="1F3864"/>
          <w:sz w:val="24"/>
          <w:szCs w:val="24"/>
        </w:rPr>
        <w:t xml:space="preserve">7.6 결과 — 시도별 증가폭 비교와 세종시의 예외</w:t>
      </w:r>
    </w:p>
    <w:p>
      <w:pPr>
        <w:spacing w:after="120"/>
      </w:pPr>
      <w:r>
        <w:rPr>
          <w:sz w:val="21"/>
          <w:szCs w:val="21"/>
        </w:rPr>
        <w:t xml:space="preserve">2015년 대비 2025년 비중 증가폭(%p)을 지역별로 비교하면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shd w:fill="1F3864" w:val="clear"/>
            <w:tcMar>
              <w:top w:type="dxa" w:w="80"/>
              <w:left w:type="dxa" w:w="120"/>
              <w:bottom w:type="dxa" w:w="80"/>
              <w:right w:type="dxa" w:w="120"/>
            </w:tcMar>
            <w:vAlign w:val="center"/>
          </w:tcPr>
          <w:p>
            <w:pPr>
              <w:jc w:val="left"/>
            </w:pPr>
            <w:r>
              <w:rPr>
                <w:b/>
                <w:bCs/>
                <w:color w:val="FFFFFF"/>
                <w:sz w:val="19"/>
                <w:szCs w:val="19"/>
              </w:rPr>
              <w:t xml:space="preserve">지역</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증가폭(%p)</w:t>
            </w:r>
          </w:p>
        </w:tc>
      </w:tr>
      <w:tr>
        <w:tc>
          <w:tcPr>
            <w:tcW w:type="dxa" w:w="7038"/>
            <w:shd w:fill="FFFFFF" w:val="clear"/>
            <w:tcMar>
              <w:top w:type="dxa" w:w="70"/>
              <w:left w:type="dxa" w:w="120"/>
              <w:bottom w:type="dxa" w:w="70"/>
              <w:right w:type="dxa" w:w="120"/>
            </w:tcMar>
            <w:vAlign w:val="center"/>
          </w:tcPr>
          <w:p>
            <w:r>
              <w:rPr>
                <w:sz w:val="19"/>
                <w:szCs w:val="19"/>
              </w:rPr>
              <w:t xml:space="preserve">대전</w:t>
            </w:r>
          </w:p>
        </w:tc>
        <w:tc>
          <w:tcPr>
            <w:tcW w:type="dxa" w:w="2600"/>
            <w:shd w:fill="FFFFFF" w:val="clear"/>
            <w:tcMar>
              <w:top w:type="dxa" w:w="70"/>
              <w:left w:type="dxa" w:w="120"/>
              <w:bottom w:type="dxa" w:w="70"/>
              <w:right w:type="dxa" w:w="120"/>
            </w:tcMar>
            <w:vAlign w:val="center"/>
          </w:tcPr>
          <w:p>
            <w:r>
              <w:rPr>
                <w:sz w:val="19"/>
                <w:szCs w:val="19"/>
              </w:rPr>
              <w:t xml:space="preserve">11.2</w:t>
            </w:r>
          </w:p>
        </w:tc>
      </w:tr>
      <w:tr>
        <w:tc>
          <w:tcPr>
            <w:tcW w:type="dxa" w:w="7038"/>
            <w:shd w:fill="F2F2F2" w:val="clear"/>
            <w:tcMar>
              <w:top w:type="dxa" w:w="70"/>
              <w:left w:type="dxa" w:w="120"/>
              <w:bottom w:type="dxa" w:w="70"/>
              <w:right w:type="dxa" w:w="120"/>
            </w:tcMar>
            <w:vAlign w:val="center"/>
          </w:tcPr>
          <w:p>
            <w:r>
              <w:rPr>
                <w:sz w:val="19"/>
                <w:szCs w:val="19"/>
              </w:rPr>
              <w:t xml:space="preserve">서울</w:t>
            </w:r>
          </w:p>
        </w:tc>
        <w:tc>
          <w:tcPr>
            <w:tcW w:type="dxa" w:w="2600"/>
            <w:shd w:fill="F2F2F2" w:val="clear"/>
            <w:tcMar>
              <w:top w:type="dxa" w:w="70"/>
              <w:left w:type="dxa" w:w="120"/>
              <w:bottom w:type="dxa" w:w="70"/>
              <w:right w:type="dxa" w:w="120"/>
            </w:tcMar>
            <w:vAlign w:val="center"/>
          </w:tcPr>
          <w:p>
            <w:r>
              <w:rPr>
                <w:sz w:val="19"/>
                <w:szCs w:val="19"/>
              </w:rPr>
              <w:t xml:space="preserve">11.0</w:t>
            </w:r>
          </w:p>
        </w:tc>
      </w:tr>
      <w:tr>
        <w:tc>
          <w:tcPr>
            <w:tcW w:type="dxa" w:w="7038"/>
            <w:shd w:fill="FFFFFF" w:val="clear"/>
            <w:tcMar>
              <w:top w:type="dxa" w:w="70"/>
              <w:left w:type="dxa" w:w="120"/>
              <w:bottom w:type="dxa" w:w="70"/>
              <w:right w:type="dxa" w:w="120"/>
            </w:tcMar>
            <w:vAlign w:val="center"/>
          </w:tcPr>
          <w:p>
            <w:r>
              <w:rPr>
                <w:sz w:val="19"/>
                <w:szCs w:val="19"/>
              </w:rPr>
              <w:t xml:space="preserve">충북</w:t>
            </w:r>
          </w:p>
        </w:tc>
        <w:tc>
          <w:tcPr>
            <w:tcW w:type="dxa" w:w="2600"/>
            <w:shd w:fill="FFFFFF" w:val="clear"/>
            <w:tcMar>
              <w:top w:type="dxa" w:w="70"/>
              <w:left w:type="dxa" w:w="120"/>
              <w:bottom w:type="dxa" w:w="70"/>
              <w:right w:type="dxa" w:w="120"/>
            </w:tcMar>
            <w:vAlign w:val="center"/>
          </w:tcPr>
          <w:p>
            <w:r>
              <w:rPr>
                <w:sz w:val="19"/>
                <w:szCs w:val="19"/>
              </w:rPr>
              <w:t xml:space="preserve">10.9</w:t>
            </w:r>
          </w:p>
        </w:tc>
      </w:tr>
      <w:tr>
        <w:tc>
          <w:tcPr>
            <w:tcW w:type="dxa" w:w="7038"/>
            <w:shd w:fill="F2F2F2" w:val="clear"/>
            <w:tcMar>
              <w:top w:type="dxa" w:w="70"/>
              <w:left w:type="dxa" w:w="120"/>
              <w:bottom w:type="dxa" w:w="70"/>
              <w:right w:type="dxa" w:w="120"/>
            </w:tcMar>
            <w:vAlign w:val="center"/>
          </w:tcPr>
          <w:p>
            <w:r>
              <w:rPr>
                <w:sz w:val="19"/>
                <w:szCs w:val="19"/>
              </w:rPr>
              <w:t xml:space="preserve">부산</w:t>
            </w:r>
          </w:p>
        </w:tc>
        <w:tc>
          <w:tcPr>
            <w:tcW w:type="dxa" w:w="2600"/>
            <w:shd w:fill="F2F2F2" w:val="clear"/>
            <w:tcMar>
              <w:top w:type="dxa" w:w="70"/>
              <w:left w:type="dxa" w:w="120"/>
              <w:bottom w:type="dxa" w:w="70"/>
              <w:right w:type="dxa" w:w="120"/>
            </w:tcMar>
            <w:vAlign w:val="center"/>
          </w:tcPr>
          <w:p>
            <w:r>
              <w:rPr>
                <w:sz w:val="19"/>
                <w:szCs w:val="19"/>
              </w:rPr>
              <w:t xml:space="preserve">10.7</w:t>
            </w:r>
          </w:p>
        </w:tc>
      </w:tr>
      <w:tr>
        <w:tc>
          <w:tcPr>
            <w:tcW w:type="dxa" w:w="7038"/>
            <w:shd w:fill="FFFFFF" w:val="clear"/>
            <w:tcMar>
              <w:top w:type="dxa" w:w="70"/>
              <w:left w:type="dxa" w:w="120"/>
              <w:bottom w:type="dxa" w:w="70"/>
              <w:right w:type="dxa" w:w="120"/>
            </w:tcMar>
            <w:vAlign w:val="center"/>
          </w:tcPr>
          <w:p>
            <w:r>
              <w:rPr>
                <w:sz w:val="19"/>
                <w:szCs w:val="19"/>
              </w:rPr>
              <w:t xml:space="preserve">대구</w:t>
            </w:r>
          </w:p>
        </w:tc>
        <w:tc>
          <w:tcPr>
            <w:tcW w:type="dxa" w:w="2600"/>
            <w:shd w:fill="FFFFFF" w:val="clear"/>
            <w:tcMar>
              <w:top w:type="dxa" w:w="70"/>
              <w:left w:type="dxa" w:w="120"/>
              <w:bottom w:type="dxa" w:w="70"/>
              <w:right w:type="dxa" w:w="120"/>
            </w:tcMar>
            <w:vAlign w:val="center"/>
          </w:tcPr>
          <w:p>
            <w:r>
              <w:rPr>
                <w:sz w:val="19"/>
                <w:szCs w:val="19"/>
              </w:rPr>
              <w:t xml:space="preserve">10.3</w:t>
            </w:r>
          </w:p>
        </w:tc>
      </w:tr>
      <w:tr>
        <w:tc>
          <w:tcPr>
            <w:tcW w:type="dxa" w:w="7038"/>
            <w:shd w:fill="F2F2F2" w:val="clear"/>
            <w:tcMar>
              <w:top w:type="dxa" w:w="70"/>
              <w:left w:type="dxa" w:w="120"/>
              <w:bottom w:type="dxa" w:w="70"/>
              <w:right w:type="dxa" w:w="120"/>
            </w:tcMar>
            <w:vAlign w:val="center"/>
          </w:tcPr>
          <w:p>
            <w:r>
              <w:rPr>
                <w:sz w:val="19"/>
                <w:szCs w:val="19"/>
              </w:rPr>
              <w:t xml:space="preserve">인천</w:t>
            </w:r>
          </w:p>
        </w:tc>
        <w:tc>
          <w:tcPr>
            <w:tcW w:type="dxa" w:w="2600"/>
            <w:shd w:fill="F2F2F2" w:val="clear"/>
            <w:tcMar>
              <w:top w:type="dxa" w:w="70"/>
              <w:left w:type="dxa" w:w="120"/>
              <w:bottom w:type="dxa" w:w="70"/>
              <w:right w:type="dxa" w:w="120"/>
            </w:tcMar>
            <w:vAlign w:val="center"/>
          </w:tcPr>
          <w:p>
            <w:r>
              <w:rPr>
                <w:sz w:val="19"/>
                <w:szCs w:val="19"/>
              </w:rPr>
              <w:t xml:space="preserve">9.8</w:t>
            </w:r>
          </w:p>
        </w:tc>
      </w:tr>
      <w:tr>
        <w:tc>
          <w:tcPr>
            <w:tcW w:type="dxa" w:w="7038"/>
            <w:shd w:fill="FFFFFF" w:val="clear"/>
            <w:tcMar>
              <w:top w:type="dxa" w:w="70"/>
              <w:left w:type="dxa" w:w="120"/>
              <w:bottom w:type="dxa" w:w="70"/>
              <w:right w:type="dxa" w:w="120"/>
            </w:tcMar>
            <w:vAlign w:val="center"/>
          </w:tcPr>
          <w:p>
            <w:r>
              <w:rPr>
                <w:sz w:val="19"/>
                <w:szCs w:val="19"/>
              </w:rPr>
              <w:t xml:space="preserve">충남</w:t>
            </w:r>
          </w:p>
        </w:tc>
        <w:tc>
          <w:tcPr>
            <w:tcW w:type="dxa" w:w="2600"/>
            <w:shd w:fill="FFFFFF" w:val="clear"/>
            <w:tcMar>
              <w:top w:type="dxa" w:w="70"/>
              <w:left w:type="dxa" w:w="120"/>
              <w:bottom w:type="dxa" w:w="70"/>
              <w:right w:type="dxa" w:w="120"/>
            </w:tcMar>
            <w:vAlign w:val="center"/>
          </w:tcPr>
          <w:p>
            <w:r>
              <w:rPr>
                <w:sz w:val="19"/>
                <w:szCs w:val="19"/>
              </w:rPr>
              <w:t xml:space="preserve">9.2</w:t>
            </w:r>
          </w:p>
        </w:tc>
      </w:tr>
      <w:tr>
        <w:tc>
          <w:tcPr>
            <w:tcW w:type="dxa" w:w="7038"/>
            <w:shd w:fill="F2F2F2" w:val="clear"/>
            <w:tcMar>
              <w:top w:type="dxa" w:w="70"/>
              <w:left w:type="dxa" w:w="120"/>
              <w:bottom w:type="dxa" w:w="70"/>
              <w:right w:type="dxa" w:w="120"/>
            </w:tcMar>
            <w:vAlign w:val="center"/>
          </w:tcPr>
          <w:p>
            <w:r>
              <w:rPr>
                <w:sz w:val="19"/>
                <w:szCs w:val="19"/>
              </w:rPr>
              <w:t xml:space="preserve">경북</w:t>
            </w:r>
          </w:p>
        </w:tc>
        <w:tc>
          <w:tcPr>
            <w:tcW w:type="dxa" w:w="2600"/>
            <w:shd w:fill="F2F2F2" w:val="clear"/>
            <w:tcMar>
              <w:top w:type="dxa" w:w="70"/>
              <w:left w:type="dxa" w:w="120"/>
              <w:bottom w:type="dxa" w:w="70"/>
              <w:right w:type="dxa" w:w="120"/>
            </w:tcMar>
            <w:vAlign w:val="center"/>
          </w:tcPr>
          <w:p>
            <w:r>
              <w:rPr>
                <w:sz w:val="19"/>
                <w:szCs w:val="19"/>
              </w:rPr>
              <w:t xml:space="preserve">9.2</w:t>
            </w:r>
          </w:p>
        </w:tc>
      </w:tr>
      <w:tr>
        <w:tc>
          <w:tcPr>
            <w:tcW w:type="dxa" w:w="7038"/>
            <w:shd w:fill="FFFFFF" w:val="clear"/>
            <w:tcMar>
              <w:top w:type="dxa" w:w="70"/>
              <w:left w:type="dxa" w:w="120"/>
              <w:bottom w:type="dxa" w:w="70"/>
              <w:right w:type="dxa" w:w="120"/>
            </w:tcMar>
            <w:vAlign w:val="center"/>
          </w:tcPr>
          <w:p>
            <w:r>
              <w:rPr>
                <w:sz w:val="19"/>
                <w:szCs w:val="19"/>
              </w:rPr>
              <w:t xml:space="preserve">전북특별자치도</w:t>
            </w:r>
          </w:p>
        </w:tc>
        <w:tc>
          <w:tcPr>
            <w:tcW w:type="dxa" w:w="2600"/>
            <w:shd w:fill="FFFFFF" w:val="clear"/>
            <w:tcMar>
              <w:top w:type="dxa" w:w="70"/>
              <w:left w:type="dxa" w:w="120"/>
              <w:bottom w:type="dxa" w:w="70"/>
              <w:right w:type="dxa" w:w="120"/>
            </w:tcMar>
            <w:vAlign w:val="center"/>
          </w:tcPr>
          <w:p>
            <w:r>
              <w:rPr>
                <w:sz w:val="19"/>
                <w:szCs w:val="19"/>
              </w:rPr>
              <w:t xml:space="preserve">9.1</w:t>
            </w:r>
          </w:p>
        </w:tc>
      </w:tr>
      <w:tr>
        <w:tc>
          <w:tcPr>
            <w:tcW w:type="dxa" w:w="7038"/>
            <w:shd w:fill="F2F2F2" w:val="clear"/>
            <w:tcMar>
              <w:top w:type="dxa" w:w="70"/>
              <w:left w:type="dxa" w:w="120"/>
              <w:bottom w:type="dxa" w:w="70"/>
              <w:right w:type="dxa" w:w="120"/>
            </w:tcMar>
            <w:vAlign w:val="center"/>
          </w:tcPr>
          <w:p>
            <w:r>
              <w:rPr>
                <w:sz w:val="19"/>
                <w:szCs w:val="19"/>
              </w:rPr>
              <w:t xml:space="preserve">강원특별자치도</w:t>
            </w:r>
          </w:p>
        </w:tc>
        <w:tc>
          <w:tcPr>
            <w:tcW w:type="dxa" w:w="2600"/>
            <w:shd w:fill="F2F2F2" w:val="clear"/>
            <w:tcMar>
              <w:top w:type="dxa" w:w="70"/>
              <w:left w:type="dxa" w:w="120"/>
              <w:bottom w:type="dxa" w:w="70"/>
              <w:right w:type="dxa" w:w="120"/>
            </w:tcMar>
            <w:vAlign w:val="center"/>
          </w:tcPr>
          <w:p>
            <w:r>
              <w:rPr>
                <w:sz w:val="19"/>
                <w:szCs w:val="19"/>
              </w:rPr>
              <w:t xml:space="preserve">8.9</w:t>
            </w:r>
          </w:p>
        </w:tc>
      </w:tr>
      <w:tr>
        <w:tc>
          <w:tcPr>
            <w:tcW w:type="dxa" w:w="7038"/>
            <w:shd w:fill="FFFFFF" w:val="clear"/>
            <w:tcMar>
              <w:top w:type="dxa" w:w="70"/>
              <w:left w:type="dxa" w:w="120"/>
              <w:bottom w:type="dxa" w:w="70"/>
              <w:right w:type="dxa" w:w="120"/>
            </w:tcMar>
            <w:vAlign w:val="center"/>
          </w:tcPr>
          <w:p>
            <w:r>
              <w:rPr>
                <w:sz w:val="19"/>
                <w:szCs w:val="19"/>
              </w:rPr>
              <w:t xml:space="preserve">광주</w:t>
            </w:r>
          </w:p>
        </w:tc>
        <w:tc>
          <w:tcPr>
            <w:tcW w:type="dxa" w:w="2600"/>
            <w:shd w:fill="FFFFFF" w:val="clear"/>
            <w:tcMar>
              <w:top w:type="dxa" w:w="70"/>
              <w:left w:type="dxa" w:w="120"/>
              <w:bottom w:type="dxa" w:w="70"/>
              <w:right w:type="dxa" w:w="120"/>
            </w:tcMar>
            <w:vAlign w:val="center"/>
          </w:tcPr>
          <w:p>
            <w:r>
              <w:rPr>
                <w:sz w:val="19"/>
                <w:szCs w:val="19"/>
              </w:rPr>
              <w:t xml:space="preserve">8.9</w:t>
            </w:r>
          </w:p>
        </w:tc>
      </w:tr>
      <w:tr>
        <w:tc>
          <w:tcPr>
            <w:tcW w:type="dxa" w:w="7038"/>
            <w:shd w:fill="F2F2F2" w:val="clear"/>
            <w:tcMar>
              <w:top w:type="dxa" w:w="70"/>
              <w:left w:type="dxa" w:w="120"/>
              <w:bottom w:type="dxa" w:w="70"/>
              <w:right w:type="dxa" w:w="120"/>
            </w:tcMar>
            <w:vAlign w:val="center"/>
          </w:tcPr>
          <w:p>
            <w:r>
              <w:rPr>
                <w:sz w:val="19"/>
                <w:szCs w:val="19"/>
              </w:rPr>
              <w:t xml:space="preserve">경기</w:t>
            </w:r>
          </w:p>
        </w:tc>
        <w:tc>
          <w:tcPr>
            <w:tcW w:type="dxa" w:w="2600"/>
            <w:shd w:fill="F2F2F2" w:val="clear"/>
            <w:tcMar>
              <w:top w:type="dxa" w:w="70"/>
              <w:left w:type="dxa" w:w="120"/>
              <w:bottom w:type="dxa" w:w="70"/>
              <w:right w:type="dxa" w:w="120"/>
            </w:tcMar>
            <w:vAlign w:val="center"/>
          </w:tcPr>
          <w:p>
            <w:r>
              <w:rPr>
                <w:sz w:val="19"/>
                <w:szCs w:val="19"/>
              </w:rPr>
              <w:t xml:space="preserve">8.8</w:t>
            </w:r>
          </w:p>
        </w:tc>
      </w:tr>
      <w:tr>
        <w:tc>
          <w:tcPr>
            <w:tcW w:type="dxa" w:w="7038"/>
            <w:shd w:fill="FFFFFF" w:val="clear"/>
            <w:tcMar>
              <w:top w:type="dxa" w:w="70"/>
              <w:left w:type="dxa" w:w="120"/>
              <w:bottom w:type="dxa" w:w="70"/>
              <w:right w:type="dxa" w:w="120"/>
            </w:tcMar>
            <w:vAlign w:val="center"/>
          </w:tcPr>
          <w:p>
            <w:r>
              <w:rPr>
                <w:sz w:val="19"/>
                <w:szCs w:val="19"/>
              </w:rPr>
              <w:t xml:space="preserve">경남</w:t>
            </w:r>
          </w:p>
        </w:tc>
        <w:tc>
          <w:tcPr>
            <w:tcW w:type="dxa" w:w="2600"/>
            <w:shd w:fill="FFFFFF" w:val="clear"/>
            <w:tcMar>
              <w:top w:type="dxa" w:w="70"/>
              <w:left w:type="dxa" w:w="120"/>
              <w:bottom w:type="dxa" w:w="70"/>
              <w:right w:type="dxa" w:w="120"/>
            </w:tcMar>
            <w:vAlign w:val="center"/>
          </w:tcPr>
          <w:p>
            <w:r>
              <w:rPr>
                <w:sz w:val="19"/>
                <w:szCs w:val="19"/>
              </w:rPr>
              <w:t xml:space="preserve">8.6</w:t>
            </w:r>
          </w:p>
        </w:tc>
      </w:tr>
      <w:tr>
        <w:tc>
          <w:tcPr>
            <w:tcW w:type="dxa" w:w="7038"/>
            <w:shd w:fill="F2F2F2" w:val="clear"/>
            <w:tcMar>
              <w:top w:type="dxa" w:w="70"/>
              <w:left w:type="dxa" w:w="120"/>
              <w:bottom w:type="dxa" w:w="70"/>
              <w:right w:type="dxa" w:w="120"/>
            </w:tcMar>
            <w:vAlign w:val="center"/>
          </w:tcPr>
          <w:p>
            <w:r>
              <w:rPr>
                <w:sz w:val="19"/>
                <w:szCs w:val="19"/>
              </w:rPr>
              <w:t xml:space="preserve">전남</w:t>
            </w:r>
          </w:p>
        </w:tc>
        <w:tc>
          <w:tcPr>
            <w:tcW w:type="dxa" w:w="2600"/>
            <w:shd w:fill="F2F2F2" w:val="clear"/>
            <w:tcMar>
              <w:top w:type="dxa" w:w="70"/>
              <w:left w:type="dxa" w:w="120"/>
              <w:bottom w:type="dxa" w:w="70"/>
              <w:right w:type="dxa" w:w="120"/>
            </w:tcMar>
            <w:vAlign w:val="center"/>
          </w:tcPr>
          <w:p>
            <w:r>
              <w:rPr>
                <w:sz w:val="19"/>
                <w:szCs w:val="19"/>
              </w:rPr>
              <w:t xml:space="preserve">7.9</w:t>
            </w:r>
          </w:p>
        </w:tc>
      </w:tr>
      <w:tr>
        <w:tc>
          <w:tcPr>
            <w:tcW w:type="dxa" w:w="7038"/>
            <w:shd w:fill="FFFFFF" w:val="clear"/>
            <w:tcMar>
              <w:top w:type="dxa" w:w="70"/>
              <w:left w:type="dxa" w:w="120"/>
              <w:bottom w:type="dxa" w:w="70"/>
              <w:right w:type="dxa" w:w="120"/>
            </w:tcMar>
            <w:vAlign w:val="center"/>
          </w:tcPr>
          <w:p>
            <w:r>
              <w:rPr>
                <w:sz w:val="19"/>
                <w:szCs w:val="19"/>
              </w:rPr>
              <w:t xml:space="preserve">제주</w:t>
            </w:r>
          </w:p>
        </w:tc>
        <w:tc>
          <w:tcPr>
            <w:tcW w:type="dxa" w:w="2600"/>
            <w:shd w:fill="FFFFFF" w:val="clear"/>
            <w:tcMar>
              <w:top w:type="dxa" w:w="70"/>
              <w:left w:type="dxa" w:w="120"/>
              <w:bottom w:type="dxa" w:w="70"/>
              <w:right w:type="dxa" w:w="120"/>
            </w:tcMar>
            <w:vAlign w:val="center"/>
          </w:tcPr>
          <w:p>
            <w:r>
              <w:rPr>
                <w:sz w:val="19"/>
                <w:szCs w:val="19"/>
              </w:rPr>
              <w:t xml:space="preserve">7.8</w:t>
            </w:r>
          </w:p>
        </w:tc>
      </w:tr>
      <w:tr>
        <w:tc>
          <w:tcPr>
            <w:tcW w:type="dxa" w:w="7038"/>
            <w:shd w:fill="F2F2F2" w:val="clear"/>
            <w:tcMar>
              <w:top w:type="dxa" w:w="70"/>
              <w:left w:type="dxa" w:w="120"/>
              <w:bottom w:type="dxa" w:w="70"/>
              <w:right w:type="dxa" w:w="120"/>
            </w:tcMar>
            <w:vAlign w:val="center"/>
          </w:tcPr>
          <w:p>
            <w:r>
              <w:rPr>
                <w:sz w:val="19"/>
                <w:szCs w:val="19"/>
              </w:rPr>
              <w:t xml:space="preserve">울산</w:t>
            </w:r>
          </w:p>
        </w:tc>
        <w:tc>
          <w:tcPr>
            <w:tcW w:type="dxa" w:w="2600"/>
            <w:shd w:fill="F2F2F2" w:val="clear"/>
            <w:tcMar>
              <w:top w:type="dxa" w:w="70"/>
              <w:left w:type="dxa" w:w="120"/>
              <w:bottom w:type="dxa" w:w="70"/>
              <w:right w:type="dxa" w:w="120"/>
            </w:tcMar>
            <w:vAlign w:val="center"/>
          </w:tcPr>
          <w:p>
            <w:r>
              <w:rPr>
                <w:sz w:val="19"/>
                <w:szCs w:val="19"/>
              </w:rPr>
              <w:t xml:space="preserve">7.8</w:t>
            </w:r>
          </w:p>
        </w:tc>
      </w:tr>
      <w:tr>
        <w:tc>
          <w:tcPr>
            <w:tcW w:type="dxa" w:w="7038"/>
            <w:shd w:fill="FFFFFF" w:val="clear"/>
            <w:tcMar>
              <w:top w:type="dxa" w:w="70"/>
              <w:left w:type="dxa" w:w="120"/>
              <w:bottom w:type="dxa" w:w="70"/>
              <w:right w:type="dxa" w:w="120"/>
            </w:tcMar>
            <w:vAlign w:val="center"/>
          </w:tcPr>
          <w:p>
            <w:r>
              <w:rPr>
                <w:sz w:val="19"/>
                <w:szCs w:val="19"/>
              </w:rPr>
              <w:t xml:space="preserve">세종</w:t>
            </w:r>
          </w:p>
        </w:tc>
        <w:tc>
          <w:tcPr>
            <w:tcW w:type="dxa" w:w="2600"/>
            <w:shd w:fill="FFFFFF" w:val="clear"/>
            <w:tcMar>
              <w:top w:type="dxa" w:w="70"/>
              <w:left w:type="dxa" w:w="120"/>
              <w:bottom w:type="dxa" w:w="70"/>
              <w:right w:type="dxa" w:w="120"/>
            </w:tcMar>
            <w:vAlign w:val="center"/>
          </w:tcPr>
          <w:p>
            <w:r>
              <w:rPr>
                <w:sz w:val="19"/>
                <w:szCs w:val="19"/>
              </w:rPr>
              <w:t xml:space="preserve">4.2</w:t>
            </w:r>
          </w:p>
        </w:tc>
      </w:tr>
    </w:tbl>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color w:val="666666"/>
          <w:sz w:val="18"/>
          <w:szCs w:val="18"/>
        </w:rPr>
        <w:t xml:space="preserve">그림 6. 시도별 1인가구 비중 증가폭 (2015→2025)</w:t>
      </w:r>
    </w:p>
    <w:p>
      <w:pPr>
        <w:spacing w:after="120"/>
      </w:pPr>
      <w:r>
        <w:rPr>
          <w:sz w:val="21"/>
          <w:szCs w:val="21"/>
        </w:rPr>
        <w:t xml:space="preserve">세종특별자치시의 증가폭(4.2%p)은 다른 지역(최소 7.8%p)의 절반 수준입니다. 세종시가 신도시로 설계되며 처음부터 신혼부부·육아가구 중심으로 조성되었고, 그 구조가 비교적 유지되고 있다는 가설을 세워볼 수 있습니다 — 다만 이는 가설이며, 확정하려면 세종시의 가구 구성 변화를 별도로 추적해야 합니다.</w:t>
      </w:r>
    </w:p>
    <w:p>
      <w:pPr>
        <w:pStyle w:val="Heading2"/>
        <w:spacing w:after="120" w:before="280"/>
      </w:pPr>
      <w:r>
        <w:rPr>
          <w:b/>
          <w:bCs/>
          <w:color w:val="1F3864"/>
          <w:sz w:val="24"/>
          <w:szCs w:val="24"/>
        </w:rPr>
        <w:t xml:space="preserve">7.7 가구수 증가 ≠ 인구 증가</w:t>
      </w:r>
    </w:p>
    <w:p>
      <w:pPr>
        <w:spacing w:after="120"/>
      </w:pPr>
      <w:r>
        <w:rPr>
          <w:sz w:val="21"/>
          <w:szCs w:val="21"/>
        </w:rPr>
        <w:t xml:space="preserve">“가구수가 늘면 인구도 늘어난 것 아닌가?”라는 질문을 검증하기 위해 같은 기간 전국 총인구 추이를 KOSIS에서 추가로 확인했습니다(tblId: DT_1IN1502). 2015년 51,069,375명에서 2025년 51,817,499명으로 10년간 +1.5% 증가에 그쳤습니다. 같은 기간 총가구수는 +17.7%, 1인가구수는 +58.4% 늘었습니다 — 인구는 거의 제자리인데 가구만 늘어난 것은 “가구 분화”(1인가구 증가)가 핵심 원인임을 보여줍니다.</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i/>
          <w:iCs/>
          <w:color w:val="666666"/>
          <w:sz w:val="18"/>
          <w:szCs w:val="18"/>
        </w:rPr>
        <w:t xml:space="preserve">그림 7. 전국 총인구수·총가구수·1인가구수 추이 (2015~2025)</w:t>
      </w:r>
    </w:p>
    <w:p>
      <w:pPr>
        <w:pBdr>
          <w:left w:val="single" w:color="C0510A" w:sz="18" w:space="6"/>
        </w:pBdr>
        <w:shd w:fill="FFF3E0" w:val="clear"/>
        <w:spacing w:after="160"/>
        <w:ind w:left="120"/>
      </w:pPr>
      <w:r>
        <w:rPr>
          <w:i/>
          <w:iCs/>
          <w:color w:val="5C3A00"/>
          <w:sz w:val="20"/>
          <w:szCs w:val="20"/>
        </w:rPr>
        <w:t xml:space="preserve">이 과정에서 또 하나의 발견이 있었습니다. 이 표(DT_1IN1502)는 “인구주택총조사”(통계청, 5년 주기 센서스) 기반 수치로, 같은 2025년 기준 행정안전부가 매월 발표하는 “주민등록인구”(51,117,378명)와 약 70만 명 차이가 납니다. 같은 “대한민국 총인구”라는 질문에도 센서스 기준이냐 주민등록 기준이냐에 따라 답이 달라질 수 있다는 뜻으로, 통계를 인용할 때는 반드시 어떤 공식 통계(출처·조사 방식)인지 명시해야 합니다.</w:t>
      </w:r>
    </w:p>
    <w:p>
      <w:pPr>
        <w:pStyle w:val="Heading1"/>
        <w:pBdr>
          <w:bottom w:val="single" w:color="1F3864" w:sz="8" w:space="4"/>
        </w:pBdr>
        <w:spacing w:after="160" w:before="360"/>
      </w:pPr>
      <w:r>
        <w:rPr>
          <w:b/>
          <w:bCs/>
          <w:color w:val="1F3864"/>
          <w:sz w:val="30"/>
          <w:szCs w:val="30"/>
        </w:rPr>
        <w:t xml:space="preserve">8. 실습④ — 청년층 수도권 순유출 분석 (두 가지 방법 비교)</w:t>
      </w:r>
    </w:p>
    <w:p>
      <w:pPr>
        <w:pStyle w:val="Heading2"/>
        <w:spacing w:after="120" w:before="280"/>
      </w:pPr>
      <w:r>
        <w:rPr>
          <w:b/>
          <w:bCs/>
          <w:color w:val="1F3864"/>
          <w:sz w:val="24"/>
          <w:szCs w:val="24"/>
        </w:rPr>
        <w:t xml:space="preserve">8.1 이번 실습의 특징 — API 없이 vs API로</w:t>
      </w:r>
    </w:p>
    <w:p>
      <w:pPr>
        <w:spacing w:after="120"/>
      </w:pPr>
      <w:r>
        <w:rPr>
          <w:sz w:val="21"/>
          <w:szCs w:val="21"/>
        </w:rPr>
        <w:t xml:space="preserve">같은 질문(“청년층의 수도권 쏠림이 지방소멸 담론처럼 실제로 가속화되고 있는가?”)에 두 가지 경로로 접근했습니다. 먼저 KOSIS Open API 없이 통계청 보도자료·뉴스 공개 자료만으로 1차 답을 만들어봤고, 그 다음 KOSIS Open API로 원자료를 직접 수집해 검증·보강했습니다.</w:t>
      </w:r>
    </w:p>
    <w:p>
      <w:pPr>
        <w:pStyle w:val="Heading2"/>
        <w:spacing w:after="120" w:before="280"/>
      </w:pPr>
      <w:r>
        <w:rPr>
          <w:b/>
          <w:bCs/>
          <w:color w:val="1F3864"/>
          <w:sz w:val="24"/>
          <w:szCs w:val="24"/>
        </w:rPr>
        <w:t xml:space="preserve">8.2 1차 시도 — 공개 통계만으로 (API 없이)</w:t>
      </w:r>
    </w:p>
    <w:p>
      <w:pPr>
        <w:pStyle w:val="ListParagraph"/>
        <w:numPr>
          <w:ilvl w:val="0"/>
          <w:numId w:val="2"/>
        </w:numPr>
        <w:spacing w:after="60"/>
      </w:pPr>
      <w:r>
        <w:rPr>
          <w:sz w:val="21"/>
          <w:szCs w:val="21"/>
        </w:rPr>
        <w:t xml:space="preserve">청년층(19~34세) 순유입: 2004~2024년 20년 내내 매년 플러스, 2024년 +62,000명(이 중 94%가 직업 사유)</w:t>
      </w:r>
    </w:p>
    <w:p>
      <w:pPr>
        <w:pStyle w:val="ListParagraph"/>
        <w:numPr>
          <w:ilvl w:val="0"/>
          <w:numId w:val="2"/>
        </w:numPr>
        <w:spacing w:after="60"/>
      </w:pPr>
      <w:r>
        <w:rPr>
          <w:sz w:val="21"/>
          <w:szCs w:val="21"/>
        </w:rPr>
        <w:t xml:space="preserve">중장년층: 2007년부터 수도권에서 순유출 중, 2024년 -13,000명</w:t>
      </w:r>
    </w:p>
    <w:p>
      <w:pPr>
        <w:pStyle w:val="ListParagraph"/>
        <w:numPr>
          <w:ilvl w:val="0"/>
          <w:numId w:val="2"/>
        </w:numPr>
        <w:spacing w:after="60"/>
      </w:pPr>
      <w:r>
        <w:rPr>
          <w:sz w:val="21"/>
          <w:szCs w:val="21"/>
        </w:rPr>
        <w:t xml:space="preserve">수도권 전체 순유입: 2020년 +88,000명(팬데믹기 주택시장 활황으로 정점) → 2023년 +47,000명 → 2024년 +45,000명</w:t>
      </w:r>
    </w:p>
    <w:p>
      <w:pPr>
        <w:pStyle w:val="ListParagraph"/>
        <w:numPr>
          <w:ilvl w:val="0"/>
          <w:numId w:val="2"/>
        </w:numPr>
        <w:spacing w:after="60"/>
      </w:pPr>
      <w:r>
        <w:rPr>
          <w:sz w:val="21"/>
          <w:szCs w:val="21"/>
        </w:rPr>
        <w:t xml:space="preserve">서울특별시 자체: 2024년 -75,000명 순유출(1990년부터 지속), 유출자의 60.5%는 경기도로 이동</w:t>
      </w:r>
    </w:p>
    <w:p>
      <w:pPr>
        <w:pStyle w:val="ListParagraph"/>
        <w:numPr>
          <w:ilvl w:val="0"/>
          <w:numId w:val="2"/>
        </w:numPr>
        <w:spacing w:after="60"/>
      </w:pPr>
      <w:r>
        <w:rPr>
          <w:sz w:val="21"/>
          <w:szCs w:val="21"/>
        </w:rPr>
        <w:t xml:space="preserve">지방소멸 각도: 2024년 영남권 -40,000명, 호남권 -18,000명 순유출; 청년(20~39세) 인구 비중 전남 19.3%·경북 19.9%로 전국 최저</w:t>
      </w:r>
    </w:p>
    <w:p>
      <w:pPr>
        <w:pBdr>
          <w:left w:val="single" w:color="C0510A" w:sz="18" w:space="6"/>
        </w:pBdr>
        <w:shd w:fill="FFF3E0" w:val="clear"/>
        <w:spacing w:after="160"/>
        <w:ind w:left="120"/>
      </w:pPr>
      <w:r>
        <w:rPr>
          <w:i/>
          <w:iCs/>
          <w:color w:val="5C3A00"/>
          <w:sz w:val="20"/>
          <w:szCs w:val="20"/>
        </w:rPr>
        <w:t xml:space="preserve">이 방식의 한계: 연령(20대 vs 30대)과 개별 비수도권 시도(경북·전남·경남 등)를 동시에 교차한 정확한 순이동 수치는 뉴스 요약만으로는 찾을 수 없었습니다 — 통계청 보도자료 PDF 안의 상세표까지 들어가야 하는데, 이는 API를 안 쓰더라도 사실상 원자료에 가까운 접근이라 “API 없이”의 경계에 걸립니다.</w:t>
      </w:r>
    </w:p>
    <w:p>
      <w:pPr>
        <w:pStyle w:val="Heading2"/>
        <w:spacing w:after="120" w:before="280"/>
      </w:pPr>
      <w:r>
        <w:rPr>
          <w:b/>
          <w:bCs/>
          <w:color w:val="1F3864"/>
          <w:sz w:val="24"/>
          <w:szCs w:val="24"/>
        </w:rPr>
        <w:t xml:space="preserve">8.3 사용한 통계표 (KOSIS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38"/>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orgId / tblId</w:t>
            </w:r>
          </w:p>
        </w:tc>
        <w:tc>
          <w:tcPr>
            <w:tcW w:type="dxa" w:w="3438"/>
            <w:shd w:fill="1F3864" w:val="clear"/>
            <w:tcMar>
              <w:top w:type="dxa" w:w="80"/>
              <w:left w:type="dxa" w:w="120"/>
              <w:bottom w:type="dxa" w:w="80"/>
              <w:right w:type="dxa" w:w="120"/>
            </w:tcMar>
            <w:vAlign w:val="center"/>
          </w:tcPr>
          <w:p>
            <w:pPr>
              <w:jc w:val="left"/>
            </w:pPr>
            <w:r>
              <w:rPr>
                <w:b/>
                <w:bCs/>
                <w:color w:val="FFFFFF"/>
                <w:sz w:val="19"/>
                <w:szCs w:val="19"/>
              </w:rPr>
              <w:t xml:space="preserve">비고</w:t>
            </w:r>
          </w:p>
        </w:tc>
      </w:tr>
      <w:tr>
        <w:tc>
          <w:tcPr>
            <w:tcW w:type="dxa" w:w="3600"/>
            <w:shd w:fill="FFFFFF" w:val="clear"/>
            <w:tcMar>
              <w:top w:type="dxa" w:w="70"/>
              <w:left w:type="dxa" w:w="120"/>
              <w:bottom w:type="dxa" w:w="70"/>
              <w:right w:type="dxa" w:w="120"/>
            </w:tcMar>
            <w:vAlign w:val="center"/>
          </w:tcPr>
          <w:p>
            <w:r>
              <w:rPr>
                <w:sz w:val="19"/>
                <w:szCs w:val="19"/>
              </w:rPr>
              <w:t xml:space="preserve">행정구역(시군구)별 국내인구이동통계(연령별)</w:t>
            </w:r>
          </w:p>
        </w:tc>
        <w:tc>
          <w:tcPr>
            <w:tcW w:type="dxa" w:w="2600"/>
            <w:shd w:fill="FFFFFF" w:val="clear"/>
            <w:tcMar>
              <w:top w:type="dxa" w:w="70"/>
              <w:left w:type="dxa" w:w="120"/>
              <w:bottom w:type="dxa" w:w="70"/>
              <w:right w:type="dxa" w:w="120"/>
            </w:tcMar>
            <w:vAlign w:val="center"/>
          </w:tcPr>
          <w:p>
            <w:r>
              <w:rPr>
                <w:sz w:val="19"/>
                <w:szCs w:val="19"/>
              </w:rPr>
              <w:t xml:space="preserve">101 / DT_1B26001_A03</w:t>
            </w:r>
          </w:p>
        </w:tc>
        <w:tc>
          <w:tcPr>
            <w:tcW w:type="dxa" w:w="3438"/>
            <w:shd w:fill="FFFFFF" w:val="clear"/>
            <w:tcMar>
              <w:top w:type="dxa" w:w="70"/>
              <w:left w:type="dxa" w:w="120"/>
              <w:bottom w:type="dxa" w:w="70"/>
              <w:right w:type="dxa" w:w="120"/>
            </w:tcMar>
            <w:vAlign w:val="center"/>
          </w:tcPr>
          <w:p>
            <w:r>
              <w:rPr>
                <w:sz w:val="19"/>
                <w:szCs w:val="19"/>
              </w:rPr>
              <w:t xml:space="preserve">총전입(T10)·총전출(T20)·순이동(T25) 등 8개 이동유형 × 5세 연령 × 18개 지역(전국+17개 시도), 월별</w:t>
            </w:r>
          </w:p>
        </w:tc>
      </w:tr>
    </w:tbl>
    <w:p>
      <w:pPr>
        <w:pBdr>
          <w:left w:val="single" w:color="C0510A" w:sz="18" w:space="6"/>
        </w:pBdr>
        <w:shd w:fill="FFF3E0" w:val="clear"/>
        <w:spacing w:after="160"/>
        <w:ind w:left="120"/>
      </w:pPr>
      <w:r>
        <w:rPr>
          <w:i/>
          <w:iCs/>
          <w:color w:val="5C3A00"/>
          <w:sz w:val="20"/>
          <w:szCs w:val="20"/>
        </w:rPr>
        <w:t xml:space="preserve">이 표의 지역코드(C1)는 인구·고용 표와도 또 다른 체계였습니다(00,11,26,27,28,29,30,31,36,41,43,44,46,47,48,50,51,52) — 통계표마다 지역 분류 코드가 다를 수 있다는 교훈이 이번에도 반복됐습니다.</w:t>
      </w:r>
    </w:p>
    <w:p>
      <w:pPr>
        <w:pStyle w:val="Heading2"/>
        <w:spacing w:after="120" w:before="280"/>
      </w:pPr>
      <w:r>
        <w:rPr>
          <w:b/>
          <w:bCs/>
          <w:color w:val="1F3864"/>
          <w:sz w:val="24"/>
          <w:szCs w:val="24"/>
        </w:rPr>
        <w:t xml:space="preserve">8.4 데이터 정합성 검증과 통계 산출방식 차이 발견</w:t>
      </w:r>
    </w:p>
    <w:p>
      <w:pPr>
        <w:spacing w:after="120"/>
      </w:pPr>
      <w:r>
        <w:rPr>
          <w:sz w:val="21"/>
          <w:szCs w:val="21"/>
        </w:rPr>
        <w:t xml:space="preserve">전국(C1=00) 순이동은 모든 연도에서 정확히 0으로 나왔습니다 — 국내 이동은 전국 기준으로 전입과 전출이 항상 같아야 하므로(제로섬), 이는 오류가 아니라 데이터 정합성을 확인해주는 1차 검증 지표였습니다.</w:t>
      </w:r>
    </w:p>
    <w:p>
      <w:pPr>
        <w:spacing w:after="120"/>
      </w:pPr>
      <w:r>
        <w:rPr>
          <w:sz w:val="21"/>
          <w:szCs w:val="21"/>
        </w:rPr>
        <w:t xml:space="preserve">다만 서울특별시 단독 2024년 순유출을 계산하니 -44,692명으로, 1차 시도(8.2)에서 확인한 통계청 공식 수치(-75,000명)와 차이가 컸습니다. 이 표의 itmId 영문명이 “Netmigration(Administrative reports)”인 것으로 보아, 이는 전입신고 등 행정자료를 그대로 집계한 수치이고, 통계청 보도자료는 중복신고 제거 등 보정을 거친 공식 조정치로 추정됩니다.</w:t>
      </w:r>
    </w:p>
    <w:p>
      <w:pPr>
        <w:pBdr>
          <w:left w:val="single" w:color="C0510A" w:sz="18" w:space="6"/>
        </w:pBdr>
        <w:shd w:fill="FFF3E0" w:val="clear"/>
        <w:spacing w:after="160"/>
        <w:ind w:left="120"/>
      </w:pPr>
      <w:r>
        <w:rPr>
          <w:i/>
          <w:iCs/>
          <w:color w:val="5C3A00"/>
          <w:sz w:val="20"/>
          <w:szCs w:val="20"/>
        </w:rPr>
        <w:t xml:space="preserve">그런데 수도권(서울+인천+경기) 전체로 묶으면 2020년 +87,775명 / 2023년 +46,869명 / 2024년 +45,169명으로, 공개 통계(88,000 / 47,000 / 45,000)와 거의 정확히 일치했습니다. 서울 내부에서 경기·인천으로 이동한 분량이 수도권 전체로 묶으면 상쇄되기 때문으로 보입니다 — 통계 산출 방식의 차이가 집계 범위(단일 시 vs 광역권)에 따라 체감되는 정도가 달라질 수 있다는 교훈입니다.</w:t>
      </w:r>
    </w:p>
    <w:p>
      <w:pPr>
        <w:pStyle w:val="Heading2"/>
        <w:spacing w:after="120" w:before="280"/>
      </w:pPr>
      <w:r>
        <w:rPr>
          <w:b/>
          <w:bCs/>
          <w:color w:val="1F3864"/>
          <w:sz w:val="24"/>
          <w:szCs w:val="24"/>
        </w:rPr>
        <w:t xml:space="preserve">8.5 결과 — 청년층 vs 전체연령 수도권 순이동 추세</w:t>
      </w:r>
    </w:p>
    <w:p>
      <w:pPr>
        <w:spacing w:after="120"/>
      </w:pPr>
      <w:r>
        <w:rPr>
          <w:sz w:val="21"/>
          <w:szCs w:val="21"/>
        </w:rPr>
        <w:t xml:space="preserve">청년층(20~39세) 수도권 순이동은 2015년 +22,733명에서 2020년 +93,430명(정점)까지 오른 뒤 4년 연속 감소해 2024년 +57,567명을 기록했습니다. 전체연령 기준으로는 2015년 -32,950명(순유출)이었다가 2017년부터 플러스로 전환, 2020년 +87,775명(정점)을 찍고 2024년 +45,169명까지 내려왔습니다.</w:t>
      </w:r>
    </w:p>
    <w:p>
      <w:pPr>
        <w:spacing w:after="120"/>
      </w:pPr>
      <w:r>
        <w:rPr>
          <w:sz w:val="21"/>
          <w:szCs w:val="21"/>
        </w:rPr>
        <w:t xml:space="preserve">흥미로운 점은, 2015년에는 전체연령 기준 수도권이 순유출이었는데 청년층만 떼어보면 이미 순유입이었다는 것입니다 — 중장년층의 반대 흐름이 더 강해서 전체 수치를 끌어내린 것입니다. 2024년에도 청년층 순유입(+57,567)이 전체 순유입(+45,169)보다 커서, 역산하면 비청년층은 -12,398명 순유출 중이라는 뜻입니다 — 한국은행이 분석한 “중장년층 2024년 수도권 순유출 약 -13,000명”과 거의 일치합니다.</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i/>
          <w:iCs/>
          <w:color w:val="666666"/>
          <w:sz w:val="18"/>
          <w:szCs w:val="18"/>
        </w:rPr>
        <w:t xml:space="preserve">그림 8. 수도권 순이동 추이 — 청년층 vs 전체 연령 (2015~2025)</w:t>
      </w:r>
    </w:p>
    <w:p>
      <w:pPr>
        <w:pStyle w:val="Heading2"/>
        <w:spacing w:after="120" w:before="280"/>
      </w:pPr>
      <w:r>
        <w:rPr>
          <w:b/>
          <w:bCs/>
          <w:color w:val="1F3864"/>
          <w:sz w:val="24"/>
          <w:szCs w:val="24"/>
        </w:rPr>
        <w:t xml:space="preserve">8.6 결과 — 청년층 수도권 전입·전출 추이</w:t>
      </w:r>
    </w:p>
    <w:p>
      <w:pPr>
        <w:spacing w:after="120"/>
      </w:pPr>
      <w:r>
        <w:rPr>
          <w:sz w:val="21"/>
          <w:szCs w:val="21"/>
        </w:rPr>
        <w:t xml:space="preserve">총전입·총전출을 따로 보면 또 다른 그림이 나타납니다. 둘 다 2020년 정점(전입 186만/전출 177만)을 찍은 뒤 2022년까지 급락해 151만대로 떨어졌습니다. 즉 2020년 이후 순유입이 줄어든 것은 “유출이 늘어서”가 아니라 “전입·전출을 포함한 전체 이동량 자체가 위축됐기 때문”입니다 — 이는 “2023년 전체 이동자 수가 1974년 이후 최저”라는 사실과도 부합합니다.</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i/>
          <w:iCs/>
          <w:color w:val="666666"/>
          <w:sz w:val="18"/>
          <w:szCs w:val="18"/>
        </w:rPr>
        <w:t xml:space="preserve">그림 9. 수도권 청년층(20~39세) 전입·전출 추이 (2015~2025)</w:t>
      </w:r>
    </w:p>
    <w:p>
      <w:pPr>
        <w:pStyle w:val="Heading2"/>
        <w:spacing w:after="120" w:before="280"/>
      </w:pPr>
      <w:r>
        <w:rPr>
          <w:b/>
          <w:bCs/>
          <w:color w:val="1F3864"/>
          <w:sz w:val="24"/>
          <w:szCs w:val="24"/>
        </w:rPr>
        <w:t xml:space="preserve">8.7 두 접근법 비교 — 언제 어느 쪽을 쓸까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538"/>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19"/>
                <w:szCs w:val="19"/>
              </w:rPr>
              <w:t xml:space="preserve">방법</w:t>
            </w:r>
          </w:p>
        </w:tc>
        <w:tc>
          <w:tcPr>
            <w:tcW w:type="dxa" w:w="3300"/>
            <w:shd w:fill="1F3864" w:val="clear"/>
            <w:tcMar>
              <w:top w:type="dxa" w:w="80"/>
              <w:left w:type="dxa" w:w="120"/>
              <w:bottom w:type="dxa" w:w="80"/>
              <w:right w:type="dxa" w:w="120"/>
            </w:tcMar>
            <w:vAlign w:val="center"/>
          </w:tcPr>
          <w:p>
            <w:pPr>
              <w:jc w:val="left"/>
            </w:pPr>
            <w:r>
              <w:rPr>
                <w:b/>
                <w:bCs/>
                <w:color w:val="FFFFFF"/>
                <w:sz w:val="19"/>
                <w:szCs w:val="19"/>
              </w:rPr>
              <w:t xml:space="preserve">장점</w:t>
            </w:r>
          </w:p>
        </w:tc>
        <w:tc>
          <w:tcPr>
            <w:tcW w:type="dxa" w:w="3538"/>
            <w:shd w:fill="1F3864" w:val="clear"/>
            <w:tcMar>
              <w:top w:type="dxa" w:w="80"/>
              <w:left w:type="dxa" w:w="120"/>
              <w:bottom w:type="dxa" w:w="80"/>
              <w:right w:type="dxa" w:w="120"/>
            </w:tcMar>
            <w:vAlign w:val="center"/>
          </w:tcPr>
          <w:p>
            <w:pPr>
              <w:jc w:val="left"/>
            </w:pPr>
            <w:r>
              <w:rPr>
                <w:b/>
                <w:bCs/>
                <w:color w:val="FFFFFF"/>
                <w:sz w:val="19"/>
                <w:szCs w:val="19"/>
              </w:rPr>
              <w:t xml:space="preserve">한계</w:t>
            </w:r>
          </w:p>
        </w:tc>
      </w:tr>
      <w:tr>
        <w:tc>
          <w:tcPr>
            <w:tcW w:type="dxa" w:w="2800"/>
            <w:shd w:fill="FFFFFF" w:val="clear"/>
            <w:tcMar>
              <w:top w:type="dxa" w:w="70"/>
              <w:left w:type="dxa" w:w="120"/>
              <w:bottom w:type="dxa" w:w="70"/>
              <w:right w:type="dxa" w:w="120"/>
            </w:tcMar>
            <w:vAlign w:val="center"/>
          </w:tcPr>
          <w:p>
            <w:r>
              <w:rPr>
                <w:sz w:val="19"/>
                <w:szCs w:val="19"/>
              </w:rPr>
              <w:t xml:space="preserve">공개 통계(보도자료·뉴스)</w:t>
            </w:r>
          </w:p>
        </w:tc>
        <w:tc>
          <w:tcPr>
            <w:tcW w:type="dxa" w:w="3300"/>
            <w:shd w:fill="FFFFFF" w:val="clear"/>
            <w:tcMar>
              <w:top w:type="dxa" w:w="70"/>
              <w:left w:type="dxa" w:w="120"/>
              <w:bottom w:type="dxa" w:w="70"/>
              <w:right w:type="dxa" w:w="120"/>
            </w:tcMar>
            <w:vAlign w:val="center"/>
          </w:tcPr>
          <w:p>
            <w:r>
              <w:rPr>
                <w:sz w:val="19"/>
                <w:szCs w:val="19"/>
              </w:rPr>
              <w:t xml:space="preserve">빠름, 이미 검증된 공식 수치</w:t>
            </w:r>
          </w:p>
        </w:tc>
        <w:tc>
          <w:tcPr>
            <w:tcW w:type="dxa" w:w="3538"/>
            <w:shd w:fill="FFFFFF" w:val="clear"/>
            <w:tcMar>
              <w:top w:type="dxa" w:w="70"/>
              <w:left w:type="dxa" w:w="120"/>
              <w:bottom w:type="dxa" w:w="70"/>
              <w:right w:type="dxa" w:w="120"/>
            </w:tcMar>
            <w:vAlign w:val="center"/>
          </w:tcPr>
          <w:p>
            <w:r>
              <w:rPr>
                <w:sz w:val="19"/>
                <w:szCs w:val="19"/>
              </w:rPr>
              <w:t xml:space="preserve">세부 교차표(연령×개별 지역)는 얻기 어려움</w:t>
            </w:r>
          </w:p>
        </w:tc>
      </w:tr>
      <w:tr>
        <w:tc>
          <w:tcPr>
            <w:tcW w:type="dxa" w:w="2800"/>
            <w:shd w:fill="F2F2F2" w:val="clear"/>
            <w:tcMar>
              <w:top w:type="dxa" w:w="70"/>
              <w:left w:type="dxa" w:w="120"/>
              <w:bottom w:type="dxa" w:w="70"/>
              <w:right w:type="dxa" w:w="120"/>
            </w:tcMar>
            <w:vAlign w:val="center"/>
          </w:tcPr>
          <w:p>
            <w:r>
              <w:rPr>
                <w:sz w:val="19"/>
                <w:szCs w:val="19"/>
              </w:rPr>
              <w:t xml:space="preserve">KOSIS API 직접 수집</w:t>
            </w:r>
          </w:p>
        </w:tc>
        <w:tc>
          <w:tcPr>
            <w:tcW w:type="dxa" w:w="3300"/>
            <w:shd w:fill="F2F2F2" w:val="clear"/>
            <w:tcMar>
              <w:top w:type="dxa" w:w="70"/>
              <w:left w:type="dxa" w:w="120"/>
              <w:bottom w:type="dxa" w:w="70"/>
              <w:right w:type="dxa" w:w="120"/>
            </w:tcMar>
            <w:vAlign w:val="center"/>
          </w:tcPr>
          <w:p>
            <w:r>
              <w:rPr>
                <w:sz w:val="19"/>
                <w:szCs w:val="19"/>
              </w:rPr>
              <w:t xml:space="preserve">원하는 교차표를 자유롭게 구성 가능, 지역·연령 단위를 세밀하게 조정</w:t>
            </w:r>
          </w:p>
        </w:tc>
        <w:tc>
          <w:tcPr>
            <w:tcW w:type="dxa" w:w="3538"/>
            <w:shd w:fill="F2F2F2" w:val="clear"/>
            <w:tcMar>
              <w:top w:type="dxa" w:w="70"/>
              <w:left w:type="dxa" w:w="120"/>
              <w:bottom w:type="dxa" w:w="70"/>
              <w:right w:type="dxa" w:w="120"/>
            </w:tcMar>
            <w:vAlign w:val="center"/>
          </w:tcPr>
          <w:p>
            <w:r>
              <w:rPr>
                <w:sz w:val="19"/>
                <w:szCs w:val="19"/>
              </w:rPr>
              <w:t xml:space="preserve">표마다 코드 체계·집계방식이 달라 검증이 필요하고 시간이 더 걸림</w:t>
            </w:r>
          </w:p>
        </w:tc>
      </w:tr>
    </w:tbl>
    <w:p>
      <w:pPr>
        <w:pStyle w:val="Heading1"/>
        <w:pBdr>
          <w:bottom w:val="single" w:color="1F3864" w:sz="8" w:space="4"/>
        </w:pBdr>
        <w:spacing w:after="160" w:before="360"/>
      </w:pPr>
      <w:r>
        <w:rPr>
          <w:b/>
          <w:bCs/>
          <w:color w:val="1F3864"/>
          <w:sz w:val="30"/>
          <w:szCs w:val="30"/>
        </w:rPr>
        <w:t xml:space="preserve">9. 실습⑤ — 지역별 1인당 GRDP 격차 분석: 생산지표와 소득지표의 차이</w:t>
      </w:r>
    </w:p>
    <w:p>
      <w:pPr>
        <w:pStyle w:val="Heading2"/>
        <w:spacing w:after="120" w:before="280"/>
      </w:pPr>
      <w:r>
        <w:rPr>
          <w:b/>
          <w:bCs/>
          <w:color w:val="1F3864"/>
          <w:sz w:val="24"/>
          <w:szCs w:val="24"/>
        </w:rPr>
        <w:t xml:space="preserve">9.1 탐색 배경 — “체감 경기·소득 격차”를 보여주는 지표 찾기</w:t>
      </w:r>
    </w:p>
    <w:p>
      <w:pPr>
        <w:spacing w:after="120"/>
      </w:pPr>
      <w:r>
        <w:rPr>
          <w:sz w:val="21"/>
          <w:szCs w:val="21"/>
        </w:rPr>
        <w:t xml:space="preserve">실습③·④와 함께 처음 후보로 꼽았던 세 번째 주제입니다(“1인 가구 비중 증가 추세”, “청년층 수도권 순유출”, “지역별 1인당 GRDP 격차”). 이번에는 실습④처럼 공개 통계와 API를 비교하는 대신, 처음부터 KOSIS Open API로 직접 수집하는 방식을 선택했습니다.</w:t>
      </w:r>
    </w:p>
    <w:p>
      <w:pPr>
        <w:pStyle w:val="Heading2"/>
        <w:spacing w:after="120" w:before="280"/>
      </w:pPr>
      <w:r>
        <w:rPr>
          <w:b/>
          <w:bCs/>
          <w:color w:val="1F3864"/>
          <w:sz w:val="24"/>
          <w:szCs w:val="24"/>
        </w:rPr>
        <w:t xml:space="preserve">9.2 사용한 통계표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orgId / tblId / itmId</w:t>
            </w:r>
          </w:p>
        </w:tc>
        <w:tc>
          <w:tcPr>
            <w:tcW w:type="dxa" w:w="3438"/>
            <w:shd w:fill="1F3864" w:val="clear"/>
            <w:tcMar>
              <w:top w:type="dxa" w:w="80"/>
              <w:left w:type="dxa" w:w="120"/>
              <w:bottom w:type="dxa" w:w="80"/>
              <w:right w:type="dxa" w:w="120"/>
            </w:tcMar>
            <w:vAlign w:val="center"/>
          </w:tcPr>
          <w:p>
            <w:pPr>
              <w:jc w:val="left"/>
            </w:pPr>
            <w:r>
              <w:rPr>
                <w:b/>
                <w:bCs/>
                <w:color w:val="FFFFFF"/>
                <w:sz w:val="19"/>
                <w:szCs w:val="19"/>
              </w:rPr>
              <w:t xml:space="preserve">비고</w:t>
            </w:r>
          </w:p>
        </w:tc>
      </w:tr>
      <w:tr>
        <w:tc>
          <w:tcPr>
            <w:tcW w:type="dxa" w:w="2600"/>
            <w:shd w:fill="FFFFFF" w:val="clear"/>
            <w:tcMar>
              <w:top w:type="dxa" w:w="70"/>
              <w:left w:type="dxa" w:w="120"/>
              <w:bottom w:type="dxa" w:w="70"/>
              <w:right w:type="dxa" w:w="120"/>
            </w:tcMar>
            <w:vAlign w:val="center"/>
          </w:tcPr>
          <w:p>
            <w:r>
              <w:rPr>
                <w:sz w:val="19"/>
                <w:szCs w:val="19"/>
              </w:rPr>
              <w:t xml:space="preserve">1인당 GRDP(시도)</w:t>
            </w:r>
          </w:p>
        </w:tc>
        <w:tc>
          <w:tcPr>
            <w:tcW w:type="dxa" w:w="3600"/>
            <w:shd w:fill="FFFFFF" w:val="clear"/>
            <w:tcMar>
              <w:top w:type="dxa" w:w="70"/>
              <w:left w:type="dxa" w:w="120"/>
              <w:bottom w:type="dxa" w:w="70"/>
              <w:right w:type="dxa" w:w="120"/>
            </w:tcMar>
            <w:vAlign w:val="center"/>
          </w:tcPr>
          <w:p>
            <w:r>
              <w:rPr>
                <w:sz w:val="19"/>
                <w:szCs w:val="19"/>
              </w:rPr>
              <w:t xml:space="preserve">101 / INH_1C96_02 / T1</w:t>
            </w:r>
          </w:p>
        </w:tc>
        <w:tc>
          <w:tcPr>
            <w:tcW w:type="dxa" w:w="3438"/>
            <w:shd w:fill="FFFFFF" w:val="clear"/>
            <w:tcMar>
              <w:top w:type="dxa" w:w="70"/>
              <w:left w:type="dxa" w:w="120"/>
              <w:bottom w:type="dxa" w:w="70"/>
              <w:right w:type="dxa" w:w="120"/>
            </w:tcMar>
            <w:vAlign w:val="center"/>
          </w:tcPr>
          <w:p>
            <w:r>
              <w:rPr>
                <w:sz w:val="19"/>
                <w:szCs w:val="19"/>
              </w:rPr>
              <w:t xml:space="preserve">1인당 지역내총생산(Regional GDP per Capita), 단위 천원</w:t>
            </w:r>
          </w:p>
        </w:tc>
      </w:tr>
      <w:tr>
        <w:tc>
          <w:tcPr>
            <w:tcW w:type="dxa" w:w="2600"/>
            <w:shd w:fill="F2F2F2" w:val="clear"/>
            <w:tcMar>
              <w:top w:type="dxa" w:w="70"/>
              <w:left w:type="dxa" w:w="120"/>
              <w:bottom w:type="dxa" w:w="70"/>
              <w:right w:type="dxa" w:w="120"/>
            </w:tcMar>
            <w:vAlign w:val="center"/>
          </w:tcPr>
          <w:p>
            <w:r>
              <w:rPr>
                <w:sz w:val="19"/>
                <w:szCs w:val="19"/>
              </w:rPr>
              <w:t xml:space="preserve">1인당 GRNI(시도)</w:t>
            </w:r>
          </w:p>
        </w:tc>
        <w:tc>
          <w:tcPr>
            <w:tcW w:type="dxa" w:w="3600"/>
            <w:shd w:fill="F2F2F2" w:val="clear"/>
            <w:tcMar>
              <w:top w:type="dxa" w:w="70"/>
              <w:left w:type="dxa" w:w="120"/>
              <w:bottom w:type="dxa" w:w="70"/>
              <w:right w:type="dxa" w:w="120"/>
            </w:tcMar>
            <w:vAlign w:val="center"/>
          </w:tcPr>
          <w:p>
            <w:r>
              <w:rPr>
                <w:sz w:val="19"/>
                <w:szCs w:val="19"/>
              </w:rPr>
              <w:t xml:space="preserve">101 / INH_1C96_03 / T2</w:t>
            </w:r>
          </w:p>
        </w:tc>
        <w:tc>
          <w:tcPr>
            <w:tcW w:type="dxa" w:w="3438"/>
            <w:shd w:fill="F2F2F2" w:val="clear"/>
            <w:tcMar>
              <w:top w:type="dxa" w:w="70"/>
              <w:left w:type="dxa" w:w="120"/>
              <w:bottom w:type="dxa" w:w="70"/>
              <w:right w:type="dxa" w:w="120"/>
            </w:tcMar>
            <w:vAlign w:val="center"/>
          </w:tcPr>
          <w:p>
            <w:r>
              <w:rPr>
                <w:sz w:val="19"/>
                <w:szCs w:val="19"/>
              </w:rPr>
              <w:t xml:space="preserve">1인당 지역총소득(Gross Regional Income per Capita), 단위 천원</w:t>
            </w:r>
          </w:p>
        </w:tc>
      </w:tr>
    </w:tbl>
    <w:p>
      <w:pPr>
        <w:pBdr>
          <w:left w:val="single" w:color="C0510A" w:sz="18" w:space="6"/>
        </w:pBdr>
        <w:shd w:fill="FFF3E0" w:val="clear"/>
        <w:spacing w:after="160"/>
        <w:ind w:left="120"/>
      </w:pPr>
      <w:r>
        <w:rPr>
          <w:i/>
          <w:iCs/>
          <w:color w:val="5C3A00"/>
          <w:sz w:val="20"/>
          <w:szCs w:val="20"/>
        </w:rPr>
        <w:t xml:space="preserve">두 표 모두 KOSIS가 자동 생성한 요청 URL에 newEstPrdCnt=3(최근 3개년만 조회)이 포함되어 있었습니다 — 같은 함정이 이번 과정에서 세 번째로 반복됐습니다. startPrdDe=2015 / endPrdDe=2024로 바꾸어 전체 구간을 받았습니다.</w:t>
      </w:r>
    </w:p>
    <w:p>
      <w:pPr>
        <w:pStyle w:val="Heading2"/>
        <w:spacing w:after="120" w:before="280"/>
      </w:pPr>
      <w:r>
        <w:rPr>
          <w:b/>
          <w:bCs/>
          <w:color w:val="1F3864"/>
          <w:sz w:val="24"/>
          <w:szCs w:val="24"/>
        </w:rPr>
        <w:t xml:space="preserve">9.3 데이터 정합성 검증</w:t>
      </w:r>
    </w:p>
    <w:p>
      <w:pPr>
        <w:spacing w:after="120"/>
      </w:pPr>
      <w:r>
        <w:rPr>
          <w:sz w:val="21"/>
          <w:szCs w:val="21"/>
        </w:rPr>
        <w:t xml:space="preserve">objL1=ALL로 조회했는데도 두 표 모두 정확히 18개 지역(전국+17개 시도)만 반환되어, 실습①에서 겪었던 읍면동 단위 셀 초과 문제가 이번에는 발생하지 않았습니다. shape (180, 17) = 18개 지역 × 10개년으로, groupby 검증 결과 모든 지역이 예외 없이 10개년 데이터를 보유해 결측 없는 완전한 격자임을 확인했습니다.</w:t>
      </w:r>
    </w:p>
    <w:p>
      <w:pPr>
        <w:spacing w:after="120"/>
      </w:pPr>
      <w:r>
        <w:rPr>
          <w:sz w:val="21"/>
          <w:szCs w:val="21"/>
        </w:rPr>
        <w:t xml:space="preserve">두 표의 지역코드(C1)는 실습③의 1인가구 표와 완전히 동일했습니다(00,11,21,22,23,24,25,26,29,31,32,33,34,35,36,37,38,39) — 실습②·④에서는 표마다 지역코드 체계가 달랐던 것과 달리, 이번에는 우연히 일치한 경우입니다. 일치한다고 해서 검증을 생략하면 안 되며, 매 표마다 C1_NM으로 재확인하는 습관이 여전히 필요합니다.</w:t>
      </w:r>
    </w:p>
    <w:p>
      <w:pPr>
        <w:pStyle w:val="Heading2"/>
        <w:spacing w:after="120" w:before="280"/>
      </w:pPr>
      <w:r>
        <w:rPr>
          <w:b/>
          <w:bCs/>
          <w:color w:val="1F3864"/>
          <w:sz w:val="24"/>
          <w:szCs w:val="24"/>
        </w:rPr>
        <w:t xml:space="preserve">9.4 결과① — 2024년 시도별 1인당 GRDP 순위</w:t>
      </w:r>
    </w:p>
    <w:p>
      <w:pPr>
        <w:spacing w:after="120"/>
      </w:pPr>
      <w:r>
        <w:rPr>
          <w:sz w:val="21"/>
          <w:szCs w:val="21"/>
        </w:rPr>
        <w:t xml:space="preserve">최고 울산광역시(8,519만원)와 최저 대구광역시(3,137만원)의 격차는 2.72배였습니다. 전국평균은 4,948만원으로, 7개 지역이 평균 이상, 10개 지역이 평균 이하였습니다.</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i/>
          <w:iCs/>
          <w:color w:val="666666"/>
          <w:sz w:val="18"/>
          <w:szCs w:val="18"/>
        </w:rPr>
        <w:t xml:space="preserve">그림 10. 2024년 시도별 1인당 GRDP</w:t>
      </w:r>
    </w:p>
    <w:p>
      <w:pPr>
        <w:pBdr>
          <w:left w:val="single" w:color="C0510A" w:sz="18" w:space="6"/>
        </w:pBdr>
        <w:shd w:fill="FFF3E0" w:val="clear"/>
        <w:spacing w:after="160"/>
        <w:ind w:left="120"/>
      </w:pPr>
      <w:r>
        <w:rPr>
          <w:i/>
          <w:iCs/>
          <w:color w:val="5C3A00"/>
          <w:sz w:val="20"/>
          <w:szCs w:val="20"/>
        </w:rPr>
        <w:t xml:space="preserve">1위가 서울이 아니라 울산이라는 점이 핵심입니다. 중화학공업(석유화학·조선·자동차) 생산시설이 몰린 지역은 GRDP(그 지역 안에서 발생한 생산액)가 높게 잡히지만, 그 생산의 이익 상당 부분은 본사가 있는 서울로, 노동자 소득 일부는 다른 거주지로 흘러갑니다. GRDP는 “생산이 어디서 일어나는가”를 보여줄 뿐, “누가 그 돈을 버는가”는 보여주지 못합니다.</w:t>
      </w:r>
    </w:p>
    <w:p>
      <w:pPr>
        <w:pStyle w:val="Heading2"/>
        <w:spacing w:after="120" w:before="280"/>
      </w:pPr>
      <w:r>
        <w:rPr>
          <w:b/>
          <w:bCs/>
          <w:color w:val="1F3864"/>
          <w:sz w:val="24"/>
          <w:szCs w:val="24"/>
        </w:rPr>
        <w:t xml:space="preserve">9.5 결과② — 2024년 시도별 1인당 GRNI 순위</w:t>
      </w:r>
    </w:p>
    <w:p>
      <w:pPr>
        <w:spacing w:after="120"/>
      </w:pPr>
      <w:r>
        <w:rPr>
          <w:sz w:val="21"/>
          <w:szCs w:val="21"/>
        </w:rPr>
        <w:t xml:space="preserve">GRNI(지역총소득)는 역외로 나가고 들어온 소득을 보정해 그 지역에 실제로 귀속되는 소득을 보여주는 지표입니다. 같은 2024년 기준으로 보면 최고 서울특별시(6,903만원)와 최저 대구광역시(3,618만원)의 격차는 1.91배로, GRDP 기준 격차(2.72배)보다 확연히 좁혀졌습니다.</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i/>
          <w:iCs/>
          <w:color w:val="666666"/>
          <w:sz w:val="18"/>
          <w:szCs w:val="18"/>
        </w:rPr>
        <w:t xml:space="preserve">그림 11. 2024년 시도별 1인당 GRNI(지역총소득)</w:t>
      </w:r>
    </w:p>
    <w:p>
      <w:pPr>
        <w:pStyle w:val="Heading2"/>
        <w:spacing w:after="120" w:before="280"/>
      </w:pPr>
      <w:r>
        <w:rPr>
          <w:b/>
          <w:bCs/>
          <w:color w:val="1F3864"/>
          <w:sz w:val="24"/>
          <w:szCs w:val="24"/>
        </w:rPr>
        <w:t xml:space="preserve">9.6 GRDP ↔ GRNI 순위 역전 비교</w:t>
      </w:r>
    </w:p>
    <w:p>
      <w:pPr>
        <w:spacing w:after="120"/>
      </w:pPr>
      <w:r>
        <w:rPr>
          <w:sz w:val="21"/>
          <w:szCs w:val="21"/>
        </w:rPr>
        <w:t xml:space="preserve">두 지표를 나란히 연결한 슬로프 차트로 보면 순위 역전이 뚜렷합니다. 서울은 GRDP 3위(6,122만원)에서 GRNI 1위(6,903만원)로 두 계단 올라서고, 울산은 GRDP 1위(8,519만원)에서 GRNI 2위(6,675만원)로 내려가며 1,844만원이 깎입니다. 충청남도도 GRDP 2위에서 GRNI 3위로, 세종특별자치시는 GRDP 9위에서 GRNI 5위로 네 계단 올라섭니다.</w:t>
      </w:r>
    </w:p>
    <w:p>
      <w:pPr>
        <w:spacing w:after="60" w:before="12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color w:val="666666"/>
          <w:sz w:val="18"/>
          <w:szCs w:val="18"/>
        </w:rPr>
        <w:t xml:space="preserve">그림 12. 2024년 시도별 1인당 GRDP vs GRNI — 서울·울산 순위 역전</w:t>
      </w:r>
    </w:p>
    <w:p>
      <w:pPr>
        <w:spacing w:after="120"/>
      </w:pPr>
      <w:r>
        <w:rPr>
          <w:sz w:val="21"/>
          <w:szCs w:val="21"/>
        </w:rPr>
        <w:t xml:space="preserve">“생산은 지방에서 일어나도 그 소득의 상당 부분은 수도권(본사·주주)으로 흘러간다”는 가설이 숫자로 확인된 셈입니다.</w:t>
      </w:r>
    </w:p>
    <w:p>
      <w:pPr>
        <w:pStyle w:val="Heading2"/>
        <w:spacing w:after="120" w:before="280"/>
      </w:pPr>
      <w:r>
        <w:rPr>
          <w:b/>
          <w:bCs/>
          <w:color w:val="1F3864"/>
          <w:sz w:val="24"/>
          <w:szCs w:val="24"/>
        </w:rPr>
        <w:t xml:space="preserve">9.7 심화 논의 — 가계총처분가능소득(PDI)까지 포함한 3단계 비교</w:t>
      </w:r>
    </w:p>
    <w:p>
      <w:pPr>
        <w:spacing w:after="120"/>
      </w:pPr>
      <w:r>
        <w:rPr>
          <w:sz w:val="21"/>
          <w:szCs w:val="21"/>
        </w:rPr>
        <w:t xml:space="preserve">GRNI에서 한 걸음 더 들어가면 “가계총처분가능소득”(가계가 세금·사회보험료를 떼고 이전소득을 더한 뒤 실제로 쓰거나 저축할 수 있는 돈)이라는 지표가 있습니다. 국가데이터처(옛 통계청)가 2025년 12월 23일 발표한 “2024년 지역소득” 통계에 따르면, 이 지표 기준 전국 평균은 2,782만원이며 1위 서울(3,222만원, 2016년부터 9년째 1위), 2위 울산(3,112만원), 3위 대전(2,875만원), 4위 세종(2,838만원)이고 최저는 제주(2,461만원)입니다. 배율은 서울÷제주 = 1.31배로, GRNI(1.91배)보다 한 번 더 좁혀집니다.</w:t>
      </w:r>
    </w:p>
    <w:p>
      <w:pPr>
        <w:pBdr>
          <w:left w:val="single" w:color="C0510A" w:sz="18" w:space="6"/>
        </w:pBdr>
        <w:shd w:fill="FFF3E0" w:val="clear"/>
        <w:spacing w:after="160"/>
        <w:ind w:left="120"/>
      </w:pPr>
      <w:r>
        <w:rPr>
          <w:i/>
          <w:iCs/>
          <w:color w:val="5C3A00"/>
          <w:sz w:val="20"/>
          <w:szCs w:val="20"/>
        </w:rPr>
        <w:t xml:space="preserve">이 수치는 이번 실습에서 KOSIS API로 직접 수집한 것이 아니라 통계청 보도자료·언론 보도를 인용한 참고자료입니다. 전체 17개 시도 순위를 정확히 비교하려면 해당 통계표를 KOSIS에서 별도로 찾아 직접 수집·검증하는 과정이 추가로 필요합니다.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838"/>
      </w:tblGrid>
      <w:tr>
        <w:trPr>
          <w:tblHeader/>
        </w:trPr>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지표</w:t>
            </w:r>
          </w:p>
        </w:tc>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최고 지역</w:t>
            </w:r>
          </w:p>
        </w:tc>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최저 지역</w:t>
            </w:r>
          </w:p>
        </w:tc>
        <w:tc>
          <w:tcPr>
            <w:tcW w:type="dxa" w:w="1838"/>
            <w:shd w:fill="1F3864" w:val="clear"/>
            <w:tcMar>
              <w:top w:type="dxa" w:w="80"/>
              <w:left w:type="dxa" w:w="120"/>
              <w:bottom w:type="dxa" w:w="80"/>
              <w:right w:type="dxa" w:w="120"/>
            </w:tcMar>
            <w:vAlign w:val="center"/>
          </w:tcPr>
          <w:p>
            <w:pPr>
              <w:jc w:val="left"/>
            </w:pPr>
            <w:r>
              <w:rPr>
                <w:b/>
                <w:bCs/>
                <w:color w:val="FFFFFF"/>
                <w:sz w:val="19"/>
                <w:szCs w:val="19"/>
              </w:rPr>
              <w:t xml:space="preserve">배율</w:t>
            </w:r>
          </w:p>
        </w:tc>
      </w:tr>
      <w:tr>
        <w:tc>
          <w:tcPr>
            <w:tcW w:type="dxa" w:w="3000"/>
            <w:shd w:fill="FFFFFF" w:val="clear"/>
            <w:tcMar>
              <w:top w:type="dxa" w:w="70"/>
              <w:left w:type="dxa" w:w="120"/>
              <w:bottom w:type="dxa" w:w="70"/>
              <w:right w:type="dxa" w:w="120"/>
            </w:tcMar>
            <w:vAlign w:val="center"/>
          </w:tcPr>
          <w:p>
            <w:r>
              <w:rPr>
                <w:sz w:val="19"/>
                <w:szCs w:val="19"/>
              </w:rPr>
              <w:t xml:space="preserve">1인당 GRDP (생산지표)</w:t>
            </w:r>
          </w:p>
        </w:tc>
        <w:tc>
          <w:tcPr>
            <w:tcW w:type="dxa" w:w="2400"/>
            <w:shd w:fill="FFFFFF" w:val="clear"/>
            <w:tcMar>
              <w:top w:type="dxa" w:w="70"/>
              <w:left w:type="dxa" w:w="120"/>
              <w:bottom w:type="dxa" w:w="70"/>
              <w:right w:type="dxa" w:w="120"/>
            </w:tcMar>
            <w:vAlign w:val="center"/>
          </w:tcPr>
          <w:p>
            <w:r>
              <w:rPr>
                <w:sz w:val="19"/>
                <w:szCs w:val="19"/>
              </w:rPr>
              <w:t xml:space="preserve">울산 8,519만원</w:t>
            </w:r>
          </w:p>
        </w:tc>
        <w:tc>
          <w:tcPr>
            <w:tcW w:type="dxa" w:w="2400"/>
            <w:shd w:fill="FFFFFF" w:val="clear"/>
            <w:tcMar>
              <w:top w:type="dxa" w:w="70"/>
              <w:left w:type="dxa" w:w="120"/>
              <w:bottom w:type="dxa" w:w="70"/>
              <w:right w:type="dxa" w:w="120"/>
            </w:tcMar>
            <w:vAlign w:val="center"/>
          </w:tcPr>
          <w:p>
            <w:r>
              <w:rPr>
                <w:sz w:val="19"/>
                <w:szCs w:val="19"/>
              </w:rPr>
              <w:t xml:space="preserve">대구 3,137만원</w:t>
            </w:r>
          </w:p>
        </w:tc>
        <w:tc>
          <w:tcPr>
            <w:tcW w:type="dxa" w:w="1838"/>
            <w:shd w:fill="FFFFFF" w:val="clear"/>
            <w:tcMar>
              <w:top w:type="dxa" w:w="70"/>
              <w:left w:type="dxa" w:w="120"/>
              <w:bottom w:type="dxa" w:w="70"/>
              <w:right w:type="dxa" w:w="120"/>
            </w:tcMar>
            <w:vAlign w:val="center"/>
          </w:tcPr>
          <w:p>
            <w:r>
              <w:rPr>
                <w:sz w:val="19"/>
                <w:szCs w:val="19"/>
              </w:rPr>
              <w:t xml:space="preserve">2.72배</w:t>
            </w:r>
          </w:p>
        </w:tc>
      </w:tr>
      <w:tr>
        <w:tc>
          <w:tcPr>
            <w:tcW w:type="dxa" w:w="3000"/>
            <w:shd w:fill="F2F2F2" w:val="clear"/>
            <w:tcMar>
              <w:top w:type="dxa" w:w="70"/>
              <w:left w:type="dxa" w:w="120"/>
              <w:bottom w:type="dxa" w:w="70"/>
              <w:right w:type="dxa" w:w="120"/>
            </w:tcMar>
            <w:vAlign w:val="center"/>
          </w:tcPr>
          <w:p>
            <w:r>
              <w:rPr>
                <w:sz w:val="19"/>
                <w:szCs w:val="19"/>
              </w:rPr>
              <w:t xml:space="preserve">1인당 GRNI (귀속소득지표)</w:t>
            </w:r>
          </w:p>
        </w:tc>
        <w:tc>
          <w:tcPr>
            <w:tcW w:type="dxa" w:w="2400"/>
            <w:shd w:fill="F2F2F2" w:val="clear"/>
            <w:tcMar>
              <w:top w:type="dxa" w:w="70"/>
              <w:left w:type="dxa" w:w="120"/>
              <w:bottom w:type="dxa" w:w="70"/>
              <w:right w:type="dxa" w:w="120"/>
            </w:tcMar>
            <w:vAlign w:val="center"/>
          </w:tcPr>
          <w:p>
            <w:r>
              <w:rPr>
                <w:sz w:val="19"/>
                <w:szCs w:val="19"/>
              </w:rPr>
              <w:t xml:space="preserve">서울 6,903만원</w:t>
            </w:r>
          </w:p>
        </w:tc>
        <w:tc>
          <w:tcPr>
            <w:tcW w:type="dxa" w:w="2400"/>
            <w:shd w:fill="F2F2F2" w:val="clear"/>
            <w:tcMar>
              <w:top w:type="dxa" w:w="70"/>
              <w:left w:type="dxa" w:w="120"/>
              <w:bottom w:type="dxa" w:w="70"/>
              <w:right w:type="dxa" w:w="120"/>
            </w:tcMar>
            <w:vAlign w:val="center"/>
          </w:tcPr>
          <w:p>
            <w:r>
              <w:rPr>
                <w:sz w:val="19"/>
                <w:szCs w:val="19"/>
              </w:rPr>
              <w:t xml:space="preserve">대구 3,618만원</w:t>
            </w:r>
          </w:p>
        </w:tc>
        <w:tc>
          <w:tcPr>
            <w:tcW w:type="dxa" w:w="1838"/>
            <w:shd w:fill="F2F2F2" w:val="clear"/>
            <w:tcMar>
              <w:top w:type="dxa" w:w="70"/>
              <w:left w:type="dxa" w:w="120"/>
              <w:bottom w:type="dxa" w:w="70"/>
              <w:right w:type="dxa" w:w="120"/>
            </w:tcMar>
            <w:vAlign w:val="center"/>
          </w:tcPr>
          <w:p>
            <w:r>
              <w:rPr>
                <w:sz w:val="19"/>
                <w:szCs w:val="19"/>
              </w:rPr>
              <w:t xml:space="preserve">1.91배</w:t>
            </w:r>
          </w:p>
        </w:tc>
      </w:tr>
      <w:tr>
        <w:tc>
          <w:tcPr>
            <w:tcW w:type="dxa" w:w="3000"/>
            <w:shd w:fill="FFFFFF" w:val="clear"/>
            <w:tcMar>
              <w:top w:type="dxa" w:w="70"/>
              <w:left w:type="dxa" w:w="120"/>
              <w:bottom w:type="dxa" w:w="70"/>
              <w:right w:type="dxa" w:w="120"/>
            </w:tcMar>
            <w:vAlign w:val="center"/>
          </w:tcPr>
          <w:p>
            <w:r>
              <w:rPr>
                <w:sz w:val="19"/>
                <w:szCs w:val="19"/>
              </w:rPr>
              <w:t xml:space="preserve">1인당 가계총처분가능소득 (참고)</w:t>
            </w:r>
          </w:p>
        </w:tc>
        <w:tc>
          <w:tcPr>
            <w:tcW w:type="dxa" w:w="2400"/>
            <w:shd w:fill="FFFFFF" w:val="clear"/>
            <w:tcMar>
              <w:top w:type="dxa" w:w="70"/>
              <w:left w:type="dxa" w:w="120"/>
              <w:bottom w:type="dxa" w:w="70"/>
              <w:right w:type="dxa" w:w="120"/>
            </w:tcMar>
            <w:vAlign w:val="center"/>
          </w:tcPr>
          <w:p>
            <w:r>
              <w:rPr>
                <w:sz w:val="19"/>
                <w:szCs w:val="19"/>
              </w:rPr>
              <w:t xml:space="preserve">서울 3,222만원</w:t>
            </w:r>
          </w:p>
        </w:tc>
        <w:tc>
          <w:tcPr>
            <w:tcW w:type="dxa" w:w="2400"/>
            <w:shd w:fill="FFFFFF" w:val="clear"/>
            <w:tcMar>
              <w:top w:type="dxa" w:w="70"/>
              <w:left w:type="dxa" w:w="120"/>
              <w:bottom w:type="dxa" w:w="70"/>
              <w:right w:type="dxa" w:w="120"/>
            </w:tcMar>
            <w:vAlign w:val="center"/>
          </w:tcPr>
          <w:p>
            <w:r>
              <w:rPr>
                <w:sz w:val="19"/>
                <w:szCs w:val="19"/>
              </w:rPr>
              <w:t xml:space="preserve">제주 2,461만원</w:t>
            </w:r>
          </w:p>
        </w:tc>
        <w:tc>
          <w:tcPr>
            <w:tcW w:type="dxa" w:w="1838"/>
            <w:shd w:fill="FFFFFF" w:val="clear"/>
            <w:tcMar>
              <w:top w:type="dxa" w:w="70"/>
              <w:left w:type="dxa" w:w="120"/>
              <w:bottom w:type="dxa" w:w="70"/>
              <w:right w:type="dxa" w:w="120"/>
            </w:tcMar>
            <w:vAlign w:val="center"/>
          </w:tcPr>
          <w:p>
            <w:r>
              <w:rPr>
                <w:sz w:val="19"/>
                <w:szCs w:val="19"/>
              </w:rPr>
              <w:t xml:space="preserve">1.31배</w:t>
            </w:r>
          </w:p>
        </w:tc>
      </w:tr>
    </w:tbl>
    <w:p>
      <w:pPr>
        <w:spacing w:after="120"/>
      </w:pPr>
      <w:r>
        <w:rPr>
          <w:sz w:val="21"/>
          <w:szCs w:val="21"/>
        </w:rPr>
        <w:t xml:space="preserve">GRDP→GRNI 단계에서는 역외소득 유출입 보정으로 순위가 바뀌고(울산→서울 역전), GRNI→가계처분가능소득 단계에서는 기업의 사내유보금과 세금·이전소득의 재분배 효과가 더해지며 격차가 한 번 더 좁혀집니다 — “생산 → 귀속소득 → 가계소득”으로 내려갈수록 지역격차가 줄어드는 깔때기 구조입니다.</w:t>
      </w:r>
    </w:p>
    <w:p>
      <w:pPr>
        <w:pStyle w:val="Heading2"/>
        <w:spacing w:after="120" w:before="280"/>
      </w:pPr>
      <w:r>
        <w:rPr>
          <w:b/>
          <w:bCs/>
          <w:color w:val="1F3864"/>
          <w:sz w:val="24"/>
          <w:szCs w:val="24"/>
        </w:rPr>
        <w:t xml:space="preserve">9.8 종합 해석 — 저널리즘적 함의</w:t>
      </w:r>
    </w:p>
    <w:p>
      <w:pPr>
        <w:spacing w:after="120"/>
      </w:pPr>
      <w:r>
        <w:rPr>
          <w:sz w:val="21"/>
          <w:szCs w:val="21"/>
        </w:rPr>
        <w:t xml:space="preserve">“1인당 GRDP 격차 = 지역 간 소득·삶의 질 격차”로 바로 번역해서 쓰면 안 됩니다. GRDP는 산업 입지(어디에 생산시설이 있는가)를 보여주는 생산 지표이지, 소득 분배를 보여주는 지표가 아닙니다. 지역격차를 보도할 때는 어떤 지표(GRDP/GRNI/가계소득)를 쓰느냐에 따라 전혀 다른 순위와 배율이 나온다는 점을 반드시 명시해야 하며, 가능하면 생산지표와 소득지표를 함께 제시해 독자가 “생산이 많은 지역”과 “실제로 잘사는 지역”을 혼동하지 않도록 해야 합니다.</w:t>
      </w:r>
    </w:p>
    <w:p>
      <w:pPr>
        <w:pStyle w:val="Heading1"/>
        <w:pBdr>
          <w:bottom w:val="single" w:color="1F3864" w:sz="8" w:space="4"/>
        </w:pBdr>
        <w:spacing w:after="160" w:before="360"/>
      </w:pPr>
      <w:r>
        <w:rPr>
          <w:b/>
          <w:bCs/>
          <w:color w:val="1F3864"/>
          <w:sz w:val="30"/>
          <w:szCs w:val="30"/>
        </w:rPr>
        <w:t xml:space="preserve">10. 종합 교훈 — 여섯 실습을 관통하는 메시지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실습</w:t>
            </w:r>
          </w:p>
        </w:tc>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단일 지표</w:t>
            </w:r>
          </w:p>
        </w:tc>
        <w:tc>
          <w:tcPr>
            <w:tcW w:type="dxa" w:w="3838"/>
            <w:shd w:fill="1F3864" w:val="clear"/>
            <w:tcMar>
              <w:top w:type="dxa" w:w="80"/>
              <w:left w:type="dxa" w:w="120"/>
              <w:bottom w:type="dxa" w:w="80"/>
              <w:right w:type="dxa" w:w="120"/>
            </w:tcMar>
            <w:vAlign w:val="center"/>
          </w:tcPr>
          <w:p>
            <w:pPr>
              <w:jc w:val="left"/>
            </w:pPr>
            <w:r>
              <w:rPr>
                <w:b/>
                <w:bCs/>
                <w:color w:val="FFFFFF"/>
                <w:sz w:val="19"/>
                <w:szCs w:val="19"/>
              </w:rPr>
              <w:t xml:space="preserve">실제로 드러난 패턴</w:t>
            </w:r>
          </w:p>
        </w:tc>
      </w:tr>
      <w:tr>
        <w:tc>
          <w:tcPr>
            <w:tcW w:type="dxa" w:w="2600"/>
            <w:shd w:fill="FFFFFF" w:val="clear"/>
            <w:tcMar>
              <w:top w:type="dxa" w:w="70"/>
              <w:left w:type="dxa" w:w="120"/>
              <w:bottom w:type="dxa" w:w="70"/>
              <w:right w:type="dxa" w:w="120"/>
            </w:tcMar>
            <w:vAlign w:val="center"/>
          </w:tcPr>
          <w:p>
            <w:r>
              <w:rPr>
                <w:sz w:val="19"/>
                <w:szCs w:val="19"/>
              </w:rPr>
              <w:t xml:space="preserve">미세먼지·날씨</w:t>
            </w:r>
          </w:p>
        </w:tc>
        <w:tc>
          <w:tcPr>
            <w:tcW w:type="dxa" w:w="3200"/>
            <w:shd w:fill="FFFFFF" w:val="clear"/>
            <w:tcMar>
              <w:top w:type="dxa" w:w="70"/>
              <w:left w:type="dxa" w:w="120"/>
              <w:bottom w:type="dxa" w:w="70"/>
              <w:right w:type="dxa" w:w="120"/>
            </w:tcMar>
            <w:vAlign w:val="center"/>
          </w:tcPr>
          <w:p>
            <w:r>
              <w:rPr>
                <w:sz w:val="19"/>
                <w:szCs w:val="19"/>
              </w:rPr>
              <w:t xml:space="preserve">풍속·강수량-PM10 상관계수 ≈ 0</w:t>
            </w:r>
          </w:p>
        </w:tc>
        <w:tc>
          <w:tcPr>
            <w:tcW w:type="dxa" w:w="3838"/>
            <w:shd w:fill="FFFFFF" w:val="clear"/>
            <w:tcMar>
              <w:top w:type="dxa" w:w="70"/>
              <w:left w:type="dxa" w:w="120"/>
              <w:bottom w:type="dxa" w:w="70"/>
              <w:right w:type="dxa" w:w="120"/>
            </w:tcMar>
            <w:vAlign w:val="center"/>
          </w:tcPr>
          <w:p>
            <w:r>
              <w:rPr>
                <w:sz w:val="19"/>
                <w:szCs w:val="19"/>
              </w:rPr>
              <w:t xml:space="preserve">구간별 최댓값 비교 시 “상한효과” 확인 (관계가 없는 게 아니라 형태가 다름)</w:t>
            </w:r>
          </w:p>
        </w:tc>
      </w:tr>
      <w:tr>
        <w:tc>
          <w:tcPr>
            <w:tcW w:type="dxa" w:w="2600"/>
            <w:shd w:fill="F2F2F2" w:val="clear"/>
            <w:tcMar>
              <w:top w:type="dxa" w:w="70"/>
              <w:left w:type="dxa" w:w="120"/>
              <w:bottom w:type="dxa" w:w="70"/>
              <w:right w:type="dxa" w:w="120"/>
            </w:tcMar>
            <w:vAlign w:val="center"/>
          </w:tcPr>
          <w:p>
            <w:r>
              <w:rPr>
                <w:sz w:val="19"/>
                <w:szCs w:val="19"/>
              </w:rPr>
              <w:t xml:space="preserve">인구·고령화</w:t>
            </w:r>
          </w:p>
        </w:tc>
        <w:tc>
          <w:tcPr>
            <w:tcW w:type="dxa" w:w="3200"/>
            <w:shd w:fill="F2F2F2" w:val="clear"/>
            <w:tcMar>
              <w:top w:type="dxa" w:w="70"/>
              <w:left w:type="dxa" w:w="120"/>
              <w:bottom w:type="dxa" w:w="70"/>
              <w:right w:type="dxa" w:w="120"/>
            </w:tcMar>
            <w:vAlign w:val="center"/>
          </w:tcPr>
          <w:p>
            <w:r>
              <w:rPr>
                <w:sz w:val="19"/>
                <w:szCs w:val="19"/>
              </w:rPr>
              <w:t xml:space="preserve">총인구-고령인구비율 상관계수 -0.157</w:t>
            </w:r>
          </w:p>
        </w:tc>
        <w:tc>
          <w:tcPr>
            <w:tcW w:type="dxa" w:w="3838"/>
            <w:shd w:fill="F2F2F2" w:val="clear"/>
            <w:tcMar>
              <w:top w:type="dxa" w:w="70"/>
              <w:left w:type="dxa" w:w="120"/>
              <w:bottom w:type="dxa" w:w="70"/>
              <w:right w:type="dxa" w:w="120"/>
            </w:tcMar>
            <w:vAlign w:val="center"/>
          </w:tcPr>
          <w:p>
            <w:r>
              <w:rPr>
                <w:sz w:val="19"/>
                <w:szCs w:val="19"/>
              </w:rPr>
              <w:t xml:space="preserve">산점도상 신도시(세종) vs 청년유출지역(경북·강원·전북)의 구조적 차이</w:t>
            </w:r>
          </w:p>
        </w:tc>
      </w:tr>
      <w:tr>
        <w:tc>
          <w:tcPr>
            <w:tcW w:type="dxa" w:w="2600"/>
            <w:shd w:fill="FFFFFF" w:val="clear"/>
            <w:tcMar>
              <w:top w:type="dxa" w:w="70"/>
              <w:left w:type="dxa" w:w="120"/>
              <w:bottom w:type="dxa" w:w="70"/>
              <w:right w:type="dxa" w:w="120"/>
            </w:tcMar>
            <w:vAlign w:val="center"/>
          </w:tcPr>
          <w:p>
            <w:r>
              <w:rPr>
                <w:sz w:val="19"/>
                <w:szCs w:val="19"/>
              </w:rPr>
              <w:t xml:space="preserve">고용·실업률</w:t>
            </w:r>
          </w:p>
        </w:tc>
        <w:tc>
          <w:tcPr>
            <w:tcW w:type="dxa" w:w="3200"/>
            <w:shd w:fill="FFFFFF" w:val="clear"/>
            <w:tcMar>
              <w:top w:type="dxa" w:w="70"/>
              <w:left w:type="dxa" w:w="120"/>
              <w:bottom w:type="dxa" w:w="70"/>
              <w:right w:type="dxa" w:w="120"/>
            </w:tcMar>
            <w:vAlign w:val="center"/>
          </w:tcPr>
          <w:p>
            <w:r>
              <w:rPr>
                <w:sz w:val="19"/>
                <w:szCs w:val="19"/>
              </w:rPr>
              <w:t xml:space="preserve">고용률-실업률 상관계수 -0.633</w:t>
            </w:r>
          </w:p>
        </w:tc>
        <w:tc>
          <w:tcPr>
            <w:tcW w:type="dxa" w:w="3838"/>
            <w:shd w:fill="FFFFFF" w:val="clear"/>
            <w:tcMar>
              <w:top w:type="dxa" w:w="70"/>
              <w:left w:type="dxa" w:w="120"/>
              <w:bottom w:type="dxa" w:w="70"/>
              <w:right w:type="dxa" w:w="120"/>
            </w:tcMar>
            <w:vAlign w:val="center"/>
          </w:tcPr>
          <w:p>
            <w:r>
              <w:rPr>
                <w:sz w:val="19"/>
                <w:szCs w:val="19"/>
              </w:rPr>
              <w:t xml:space="preserve">부산은 예외 — 실업률 정의(비경제활동인구 제외)의 맹점 노출</w:t>
            </w:r>
          </w:p>
        </w:tc>
      </w:tr>
      <w:tr>
        <w:tc>
          <w:tcPr>
            <w:tcW w:type="dxa" w:w="2600"/>
            <w:shd w:fill="F2F2F2" w:val="clear"/>
            <w:tcMar>
              <w:top w:type="dxa" w:w="70"/>
              <w:left w:type="dxa" w:w="120"/>
              <w:bottom w:type="dxa" w:w="70"/>
              <w:right w:type="dxa" w:w="120"/>
            </w:tcMar>
            <w:vAlign w:val="center"/>
          </w:tcPr>
          <w:p>
            <w:r>
              <w:rPr>
                <w:sz w:val="19"/>
                <w:szCs w:val="19"/>
              </w:rPr>
              <w:t xml:space="preserve">1인가구 비중</w:t>
            </w:r>
          </w:p>
        </w:tc>
        <w:tc>
          <w:tcPr>
            <w:tcW w:type="dxa" w:w="3200"/>
            <w:shd w:fill="F2F2F2" w:val="clear"/>
            <w:tcMar>
              <w:top w:type="dxa" w:w="70"/>
              <w:left w:type="dxa" w:w="120"/>
              <w:bottom w:type="dxa" w:w="70"/>
              <w:right w:type="dxa" w:w="120"/>
            </w:tcMar>
            <w:vAlign w:val="center"/>
          </w:tcPr>
          <w:p>
            <w:r>
              <w:rPr>
                <w:sz w:val="19"/>
                <w:szCs w:val="19"/>
              </w:rPr>
              <w:t xml:space="preserve">전국 평균 증가폭 9.4%p(2015→2025)</w:t>
            </w:r>
          </w:p>
        </w:tc>
        <w:tc>
          <w:tcPr>
            <w:tcW w:type="dxa" w:w="3838"/>
            <w:shd w:fill="F2F2F2" w:val="clear"/>
            <w:tcMar>
              <w:top w:type="dxa" w:w="70"/>
              <w:left w:type="dxa" w:w="120"/>
              <w:bottom w:type="dxa" w:w="70"/>
              <w:right w:type="dxa" w:w="120"/>
            </w:tcMar>
            <w:vAlign w:val="center"/>
          </w:tcPr>
          <w:p>
            <w:r>
              <w:rPr>
                <w:sz w:val="19"/>
                <w:szCs w:val="19"/>
              </w:rPr>
              <w:t xml:space="preserve">지역별 편차 큼 — 세종시만 유독 낮음(4.2%p); 가구 증가(+17.7%)가 인구 증가(+1.5%)와 다른 현상임을 추가 확인</w:t>
            </w:r>
          </w:p>
        </w:tc>
      </w:tr>
      <w:tr>
        <w:tc>
          <w:tcPr>
            <w:tcW w:type="dxa" w:w="2600"/>
            <w:shd w:fill="FFFFFF" w:val="clear"/>
            <w:tcMar>
              <w:top w:type="dxa" w:w="70"/>
              <w:left w:type="dxa" w:w="120"/>
              <w:bottom w:type="dxa" w:w="70"/>
              <w:right w:type="dxa" w:w="120"/>
            </w:tcMar>
            <w:vAlign w:val="center"/>
          </w:tcPr>
          <w:p>
            <w:r>
              <w:rPr>
                <w:sz w:val="19"/>
                <w:szCs w:val="19"/>
              </w:rPr>
              <w:t xml:space="preserve">청년층 수도권 순유출</w:t>
            </w:r>
          </w:p>
        </w:tc>
        <w:tc>
          <w:tcPr>
            <w:tcW w:type="dxa" w:w="3200"/>
            <w:shd w:fill="FFFFFF" w:val="clear"/>
            <w:tcMar>
              <w:top w:type="dxa" w:w="70"/>
              <w:left w:type="dxa" w:w="120"/>
              <w:bottom w:type="dxa" w:w="70"/>
              <w:right w:type="dxa" w:w="120"/>
            </w:tcMar>
            <w:vAlign w:val="center"/>
          </w:tcPr>
          <w:p>
            <w:r>
              <w:rPr>
                <w:sz w:val="19"/>
                <w:szCs w:val="19"/>
              </w:rPr>
              <w:t xml:space="preserve">수도권 전체 순이동 +45,169명(2024)</w:t>
            </w:r>
          </w:p>
        </w:tc>
        <w:tc>
          <w:tcPr>
            <w:tcW w:type="dxa" w:w="3838"/>
            <w:shd w:fill="FFFFFF" w:val="clear"/>
            <w:tcMar>
              <w:top w:type="dxa" w:w="70"/>
              <w:left w:type="dxa" w:w="120"/>
              <w:bottom w:type="dxa" w:w="70"/>
              <w:right w:type="dxa" w:w="120"/>
            </w:tcMar>
            <w:vAlign w:val="center"/>
          </w:tcPr>
          <w:p>
            <w:r>
              <w:rPr>
                <w:sz w:val="19"/>
                <w:szCs w:val="19"/>
              </w:rPr>
              <w:t xml:space="preserve">청년층만 보면 전체보다 더 큼(+57,567) — 중장년층은 반대로 순유출 중; 전입·전출 모두 2020년 이후 급감해 순유입 감소가 유출 증가가 아닌 전체 이동량 위축 때문임을 확인</w:t>
            </w:r>
          </w:p>
        </w:tc>
      </w:tr>
      <w:tr>
        <w:tc>
          <w:tcPr>
            <w:tcW w:type="dxa" w:w="2600"/>
            <w:shd w:fill="F2F2F2" w:val="clear"/>
            <w:tcMar>
              <w:top w:type="dxa" w:w="70"/>
              <w:left w:type="dxa" w:w="120"/>
              <w:bottom w:type="dxa" w:w="70"/>
              <w:right w:type="dxa" w:w="120"/>
            </w:tcMar>
            <w:vAlign w:val="center"/>
          </w:tcPr>
          <w:p>
            <w:r>
              <w:rPr>
                <w:sz w:val="19"/>
                <w:szCs w:val="19"/>
              </w:rPr>
              <w:t xml:space="preserve">지역별 1인당 GRDP 격차</w:t>
            </w:r>
          </w:p>
        </w:tc>
        <w:tc>
          <w:tcPr>
            <w:tcW w:type="dxa" w:w="3200"/>
            <w:shd w:fill="F2F2F2" w:val="clear"/>
            <w:tcMar>
              <w:top w:type="dxa" w:w="70"/>
              <w:left w:type="dxa" w:w="120"/>
              <w:bottom w:type="dxa" w:w="70"/>
              <w:right w:type="dxa" w:w="120"/>
            </w:tcMar>
            <w:vAlign w:val="center"/>
          </w:tcPr>
          <w:p>
            <w:r>
              <w:rPr>
                <w:sz w:val="19"/>
                <w:szCs w:val="19"/>
              </w:rPr>
              <w:t xml:space="preserve">GRDP 기준 격차 2.72배(울산 1위)</w:t>
            </w:r>
          </w:p>
        </w:tc>
        <w:tc>
          <w:tcPr>
            <w:tcW w:type="dxa" w:w="3838"/>
            <w:shd w:fill="F2F2F2" w:val="clear"/>
            <w:tcMar>
              <w:top w:type="dxa" w:w="70"/>
              <w:left w:type="dxa" w:w="120"/>
              <w:bottom w:type="dxa" w:w="70"/>
              <w:right w:type="dxa" w:w="120"/>
            </w:tcMar>
            <w:vAlign w:val="center"/>
          </w:tcPr>
          <w:p>
            <w:r>
              <w:rPr>
                <w:sz w:val="19"/>
                <w:szCs w:val="19"/>
              </w:rPr>
              <w:t xml:space="preserve">GRNI(소득지표) 기준으로는 1.91배로 좁혀지고 서울이 1위로 역전 — 생산지표와 소득지표가 전혀 다른 순위를 보여줌을 확인</w:t>
            </w:r>
          </w:p>
        </w:tc>
      </w:tr>
    </w:tbl>
    <w:p>
      <w:pPr>
        <w:spacing w:after="120"/>
      </w:pPr>
      <w:r>
        <w:rPr>
          <w:sz w:val="21"/>
          <w:szCs w:val="21"/>
        </w:rPr>
        <w:t xml:space="preserve">여섯 실습 모두 “상관계수나 증가율 하나만 보고 판단하면 안 된다”는 동일한 결론에 도달했습니다. 숫자 하나로 요약된 통계는 반드시 시각화(산점도·지도·추세선)와 함께 확인해야 실제 패턴과 그 이면의 원인을 놓치지 않습니다. 이것이 이 과정에서 “분석” 단계가 다루는 핵심 역량입니다.</w:t>
      </w:r>
    </w:p>
    <w:p>
      <w:pPr>
        <w:pStyle w:val="Heading1"/>
        <w:pBdr>
          <w:bottom w:val="single" w:color="1F3864" w:sz="8" w:space="4"/>
        </w:pBdr>
        <w:spacing w:after="160" w:before="360"/>
      </w:pPr>
      <w:r>
        <w:rPr>
          <w:b/>
          <w:bCs/>
          <w:color w:val="1F3864"/>
          <w:sz w:val="30"/>
          <w:szCs w:val="30"/>
        </w:rPr>
        <w:t xml:space="preserve">11. 트러블슈팅 종합표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19"/>
                <w:szCs w:val="19"/>
              </w:rPr>
              <w:t xml:space="preserve">증상</w:t>
            </w:r>
          </w:p>
        </w:tc>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원인</w:t>
            </w:r>
          </w:p>
        </w:tc>
        <w:tc>
          <w:tcPr>
            <w:tcW w:type="dxa" w:w="3238"/>
            <w:shd w:fill="1F3864" w:val="clear"/>
            <w:tcMar>
              <w:top w:type="dxa" w:w="80"/>
              <w:left w:type="dxa" w:w="120"/>
              <w:bottom w:type="dxa" w:w="80"/>
              <w:right w:type="dxa" w:w="120"/>
            </w:tcMar>
            <w:vAlign w:val="center"/>
          </w:tcPr>
          <w:p>
            <w:pPr>
              <w:jc w:val="left"/>
            </w:pPr>
            <w:r>
              <w:rPr>
                <w:b/>
                <w:bCs/>
                <w:color w:val="FFFFFF"/>
                <w:sz w:val="19"/>
                <w:szCs w:val="19"/>
              </w:rPr>
              <w:t xml:space="preserve">해결</w:t>
            </w:r>
          </w:p>
        </w:tc>
      </w:tr>
      <w:tr>
        <w:tc>
          <w:tcPr>
            <w:tcW w:type="dxa" w:w="2800"/>
            <w:shd w:fill="FFFFFF" w:val="clear"/>
            <w:tcMar>
              <w:top w:type="dxa" w:w="70"/>
              <w:left w:type="dxa" w:w="120"/>
              <w:bottom w:type="dxa" w:w="70"/>
              <w:right w:type="dxa" w:w="120"/>
            </w:tcMar>
            <w:vAlign w:val="center"/>
          </w:tcPr>
          <w:p>
            <w:r>
              <w:rPr>
                <w:sz w:val="19"/>
                <w:szCs w:val="19"/>
              </w:rPr>
              <w:t xml:space="preserve">err 20 “필수요청변수값이 누락되었습니다”</w:t>
            </w:r>
          </w:p>
        </w:tc>
        <w:tc>
          <w:tcPr>
            <w:tcW w:type="dxa" w:w="3600"/>
            <w:shd w:fill="FFFFFF" w:val="clear"/>
            <w:tcMar>
              <w:top w:type="dxa" w:w="70"/>
              <w:left w:type="dxa" w:w="120"/>
              <w:bottom w:type="dxa" w:w="70"/>
              <w:right w:type="dxa" w:w="120"/>
            </w:tcMar>
            <w:vAlign w:val="center"/>
          </w:tcPr>
          <w:p>
            <w:r>
              <w:rPr>
                <w:sz w:val="19"/>
                <w:szCs w:val="19"/>
              </w:rPr>
              <w:t xml:space="preserve">잘못된 API 주소(statisticsData.do) 사용</w:t>
            </w:r>
          </w:p>
        </w:tc>
        <w:tc>
          <w:tcPr>
            <w:tcW w:type="dxa" w:w="3238"/>
            <w:shd w:fill="FFFFFF" w:val="clear"/>
            <w:tcMar>
              <w:top w:type="dxa" w:w="70"/>
              <w:left w:type="dxa" w:w="120"/>
              <w:bottom w:type="dxa" w:w="70"/>
              <w:right w:type="dxa" w:w="120"/>
            </w:tcMar>
            <w:vAlign w:val="center"/>
          </w:tcPr>
          <w:p>
            <w:r>
              <w:rPr>
                <w:sz w:val="19"/>
                <w:szCs w:val="19"/>
              </w:rPr>
              <w:t xml:space="preserve">Param/statisticsParameterData.do 주소로 변경</w:t>
            </w:r>
          </w:p>
        </w:tc>
      </w:tr>
      <w:tr>
        <w:tc>
          <w:tcPr>
            <w:tcW w:type="dxa" w:w="2800"/>
            <w:shd w:fill="F2F2F2" w:val="clear"/>
            <w:tcMar>
              <w:top w:type="dxa" w:w="70"/>
              <w:left w:type="dxa" w:w="120"/>
              <w:bottom w:type="dxa" w:w="70"/>
              <w:right w:type="dxa" w:w="120"/>
            </w:tcMar>
            <w:vAlign w:val="center"/>
          </w:tcPr>
          <w:p>
            <w:r>
              <w:rPr>
                <w:sz w:val="19"/>
                <w:szCs w:val="19"/>
              </w:rPr>
              <w:t xml:space="preserve">err 31 “40,000셀을 초과한 결과값”</w:t>
            </w:r>
          </w:p>
        </w:tc>
        <w:tc>
          <w:tcPr>
            <w:tcW w:type="dxa" w:w="3600"/>
            <w:shd w:fill="F2F2F2" w:val="clear"/>
            <w:tcMar>
              <w:top w:type="dxa" w:w="70"/>
              <w:left w:type="dxa" w:w="120"/>
              <w:bottom w:type="dxa" w:w="70"/>
              <w:right w:type="dxa" w:w="120"/>
            </w:tcMar>
            <w:vAlign w:val="center"/>
          </w:tcPr>
          <w:p>
            <w:r>
              <w:rPr>
                <w:sz w:val="19"/>
                <w:szCs w:val="19"/>
              </w:rPr>
              <w:t xml:space="preserve">읍면동 단위까지 포함된 표를 objL1=ALL로 전체 조회</w:t>
            </w:r>
          </w:p>
        </w:tc>
        <w:tc>
          <w:tcPr>
            <w:tcW w:type="dxa" w:w="3238"/>
            <w:shd w:fill="F2F2F2" w:val="clear"/>
            <w:tcMar>
              <w:top w:type="dxa" w:w="70"/>
              <w:left w:type="dxa" w:w="120"/>
              <w:bottom w:type="dxa" w:w="70"/>
              <w:right w:type="dxa" w:w="120"/>
            </w:tcMar>
            <w:vAlign w:val="center"/>
          </w:tcPr>
          <w:p>
            <w:r>
              <w:rPr>
                <w:sz w:val="19"/>
                <w:szCs w:val="19"/>
              </w:rPr>
              <w:t xml:space="preserve">조회 범위를 시도 단위 코드로 한정</w:t>
            </w:r>
          </w:p>
        </w:tc>
      </w:tr>
      <w:tr>
        <w:tc>
          <w:tcPr>
            <w:tcW w:type="dxa" w:w="2800"/>
            <w:shd w:fill="FFFFFF" w:val="clear"/>
            <w:tcMar>
              <w:top w:type="dxa" w:w="70"/>
              <w:left w:type="dxa" w:w="120"/>
              <w:bottom w:type="dxa" w:w="70"/>
              <w:right w:type="dxa" w:w="120"/>
            </w:tcMar>
            <w:vAlign w:val="center"/>
          </w:tcPr>
          <w:p>
            <w:r>
              <w:rPr>
                <w:sz w:val="19"/>
                <w:szCs w:val="19"/>
              </w:rPr>
              <w:t xml:space="preserve">지역 2개가 갑자기 응답에서 빠짐</w:t>
            </w:r>
          </w:p>
        </w:tc>
        <w:tc>
          <w:tcPr>
            <w:tcW w:type="dxa" w:w="3600"/>
            <w:shd w:fill="FFFFFF" w:val="clear"/>
            <w:tcMar>
              <w:top w:type="dxa" w:w="70"/>
              <w:left w:type="dxa" w:w="120"/>
              <w:bottom w:type="dxa" w:w="70"/>
              <w:right w:type="dxa" w:w="120"/>
            </w:tcMar>
            <w:vAlign w:val="center"/>
          </w:tcPr>
          <w:p>
            <w:r>
              <w:rPr>
                <w:sz w:val="19"/>
                <w:szCs w:val="19"/>
              </w:rPr>
              <w:t xml:space="preserve">행정구역 개편(전남·광주 통합)으로 코드 자체가 사라짐</w:t>
            </w:r>
          </w:p>
        </w:tc>
        <w:tc>
          <w:tcPr>
            <w:tcW w:type="dxa" w:w="3238"/>
            <w:shd w:fill="FFFFFF" w:val="clear"/>
            <w:tcMar>
              <w:top w:type="dxa" w:w="70"/>
              <w:left w:type="dxa" w:w="120"/>
              <w:bottom w:type="dxa" w:w="70"/>
              <w:right w:type="dxa" w:w="120"/>
            </w:tcMar>
            <w:vAlign w:val="center"/>
          </w:tcPr>
          <w:p>
            <w:r>
              <w:rPr>
                <w:sz w:val="19"/>
                <w:szCs w:val="19"/>
              </w:rPr>
              <w:t xml:space="preserve">통합 전후 데이터 존재 기간을 확인 후 최신 코드로 통일</w:t>
            </w:r>
          </w:p>
        </w:tc>
      </w:tr>
      <w:tr>
        <w:tc>
          <w:tcPr>
            <w:tcW w:type="dxa" w:w="2800"/>
            <w:shd w:fill="F2F2F2" w:val="clear"/>
            <w:tcMar>
              <w:top w:type="dxa" w:w="70"/>
              <w:left w:type="dxa" w:w="120"/>
              <w:bottom w:type="dxa" w:w="70"/>
              <w:right w:type="dxa" w:w="120"/>
            </w:tcMar>
            <w:vAlign w:val="center"/>
          </w:tcPr>
          <w:p>
            <w:r>
              <w:rPr>
                <w:sz w:val="19"/>
                <w:szCs w:val="19"/>
              </w:rPr>
              <w:t xml:space="preserve">같은 통합 지역이 두 방식으로 동시에 존재</w:t>
            </w:r>
          </w:p>
        </w:tc>
        <w:tc>
          <w:tcPr>
            <w:tcW w:type="dxa" w:w="3600"/>
            <w:shd w:fill="F2F2F2" w:val="clear"/>
            <w:tcMar>
              <w:top w:type="dxa" w:w="70"/>
              <w:left w:type="dxa" w:w="120"/>
              <w:bottom w:type="dxa" w:w="70"/>
              <w:right w:type="dxa" w:w="120"/>
            </w:tcMar>
            <w:vAlign w:val="center"/>
          </w:tcPr>
          <w:p>
            <w:r>
              <w:rPr>
                <w:sz w:val="19"/>
                <w:szCs w:val="19"/>
              </w:rPr>
              <w:t xml:space="preserve">표본조사 기반 통계는 신·구 코드를 한동안 병행 제공</w:t>
            </w:r>
          </w:p>
        </w:tc>
        <w:tc>
          <w:tcPr>
            <w:tcW w:type="dxa" w:w="3238"/>
            <w:shd w:fill="F2F2F2" w:val="clear"/>
            <w:tcMar>
              <w:top w:type="dxa" w:w="70"/>
              <w:left w:type="dxa" w:w="120"/>
              <w:bottom w:type="dxa" w:w="70"/>
              <w:right w:type="dxa" w:w="120"/>
            </w:tcMar>
            <w:vAlign w:val="center"/>
          </w:tcPr>
          <w:p>
            <w:r>
              <w:rPr>
                <w:sz w:val="19"/>
                <w:szCs w:val="19"/>
              </w:rPr>
              <w:t xml:space="preserve">실제 값 비교로 중복 여부 확인 후 신 코드만 채택</w:t>
            </w:r>
          </w:p>
        </w:tc>
      </w:tr>
      <w:tr>
        <w:tc>
          <w:tcPr>
            <w:tcW w:type="dxa" w:w="2800"/>
            <w:shd w:fill="FFFFFF" w:val="clear"/>
            <w:tcMar>
              <w:top w:type="dxa" w:w="70"/>
              <w:left w:type="dxa" w:w="120"/>
              <w:bottom w:type="dxa" w:w="70"/>
              <w:right w:type="dxa" w:w="120"/>
            </w:tcMar>
            <w:vAlign w:val="center"/>
          </w:tcPr>
          <w:p>
            <w:r>
              <w:rPr>
                <w:sz w:val="19"/>
                <w:szCs w:val="19"/>
              </w:rPr>
              <w:t xml:space="preserve">지도 타일 “Access blocked / 403”</w:t>
            </w:r>
          </w:p>
        </w:tc>
        <w:tc>
          <w:tcPr>
            <w:tcW w:type="dxa" w:w="3600"/>
            <w:shd w:fill="FFFFFF" w:val="clear"/>
            <w:tcMar>
              <w:top w:type="dxa" w:w="70"/>
              <w:left w:type="dxa" w:w="120"/>
              <w:bottom w:type="dxa" w:w="70"/>
              <w:right w:type="dxa" w:w="120"/>
            </w:tcMar>
            <w:vAlign w:val="center"/>
          </w:tcPr>
          <w:p>
            <w:r>
              <w:rPr>
                <w:sz w:val="19"/>
                <w:szCs w:val="19"/>
              </w:rPr>
              <w:t xml:space="preserve">CartoDB·OpenStreetMap이 자동화 요청을 정책상 차단</w:t>
            </w:r>
          </w:p>
        </w:tc>
        <w:tc>
          <w:tcPr>
            <w:tcW w:type="dxa" w:w="3238"/>
            <w:shd w:fill="FFFFFF" w:val="clear"/>
            <w:tcMar>
              <w:top w:type="dxa" w:w="70"/>
              <w:left w:type="dxa" w:w="120"/>
              <w:bottom w:type="dxa" w:w="70"/>
              <w:right w:type="dxa" w:w="120"/>
            </w:tcMar>
            <w:vAlign w:val="center"/>
          </w:tcPr>
          <w:p>
            <w:r>
              <w:rPr>
                <w:sz w:val="19"/>
                <w:szCs w:val="19"/>
              </w:rPr>
              <w:t xml:space="preserve">tiles=None으로 배경 지도 없이 경계만 표시</w:t>
            </w:r>
          </w:p>
        </w:tc>
      </w:tr>
      <w:tr>
        <w:tc>
          <w:tcPr>
            <w:tcW w:type="dxa" w:w="2800"/>
            <w:shd w:fill="F2F2F2" w:val="clear"/>
            <w:tcMar>
              <w:top w:type="dxa" w:w="70"/>
              <w:left w:type="dxa" w:w="120"/>
              <w:bottom w:type="dxa" w:w="70"/>
              <w:right w:type="dxa" w:w="120"/>
            </w:tcMar>
            <w:vAlign w:val="center"/>
          </w:tcPr>
          <w:p>
            <w:r>
              <w:rPr>
                <w:sz w:val="19"/>
                <w:szCs w:val="19"/>
              </w:rPr>
              <w:t xml:space="preserve">한글 그래프 글자 깨짐(새 노트북)</w:t>
            </w:r>
          </w:p>
        </w:tc>
        <w:tc>
          <w:tcPr>
            <w:tcW w:type="dxa" w:w="3600"/>
            <w:shd w:fill="F2F2F2" w:val="clear"/>
            <w:tcMar>
              <w:top w:type="dxa" w:w="70"/>
              <w:left w:type="dxa" w:w="120"/>
              <w:bottom w:type="dxa" w:w="70"/>
              <w:right w:type="dxa" w:w="120"/>
            </w:tcMar>
            <w:vAlign w:val="center"/>
          </w:tcPr>
          <w:p>
            <w:r>
              <w:rPr>
                <w:sz w:val="19"/>
                <w:szCs w:val="19"/>
              </w:rPr>
              <w:t xml:space="preserve">폰트 설치 후 matplotlib 폰트 매니저 미갱신</w:t>
            </w:r>
          </w:p>
        </w:tc>
        <w:tc>
          <w:tcPr>
            <w:tcW w:type="dxa" w:w="3238"/>
            <w:shd w:fill="F2F2F2" w:val="clear"/>
            <w:tcMar>
              <w:top w:type="dxa" w:w="70"/>
              <w:left w:type="dxa" w:w="120"/>
              <w:bottom w:type="dxa" w:w="70"/>
              <w:right w:type="dxa" w:w="120"/>
            </w:tcMar>
            <w:vAlign w:val="center"/>
          </w:tcPr>
          <w:p>
            <w:r>
              <w:rPr>
                <w:sz w:val="19"/>
                <w:szCs w:val="19"/>
              </w:rPr>
              <w:t xml:space="preserve">fm.fontManager.addfont()로 폰트 직접 등록</w:t>
            </w:r>
          </w:p>
        </w:tc>
      </w:tr>
      <w:tr>
        <w:tc>
          <w:tcPr>
            <w:tcW w:type="dxa" w:w="2800"/>
            <w:shd w:fill="FFFFFF" w:val="clear"/>
            <w:tcMar>
              <w:top w:type="dxa" w:w="70"/>
              <w:left w:type="dxa" w:w="120"/>
              <w:bottom w:type="dxa" w:w="70"/>
              <w:right w:type="dxa" w:w="120"/>
            </w:tcMar>
            <w:vAlign w:val="center"/>
          </w:tcPr>
          <w:p>
            <w:r>
              <w:rPr>
                <w:sz w:val="19"/>
                <w:szCs w:val="19"/>
              </w:rPr>
              <w:t xml:space="preserve">통계명이 그럴듯해도 전국 데이터가 아님</w:t>
            </w:r>
          </w:p>
        </w:tc>
        <w:tc>
          <w:tcPr>
            <w:tcW w:type="dxa" w:w="3600"/>
            <w:shd w:fill="FFFFFF" w:val="clear"/>
            <w:tcMar>
              <w:top w:type="dxa" w:w="70"/>
              <w:left w:type="dxa" w:w="120"/>
              <w:bottom w:type="dxa" w:w="70"/>
              <w:right w:type="dxa" w:w="120"/>
            </w:tcMar>
            <w:vAlign w:val="center"/>
          </w:tcPr>
          <w:p>
            <w:r>
              <w:rPr>
                <w:sz w:val="19"/>
                <w:szCs w:val="19"/>
              </w:rPr>
              <w:t xml:space="preserve">“반려동물 등록현황”, “세대원수별 세대수” 등은 지자체별 개별 업로드일 뿐 전국 집계 표가 아니었음</w:t>
            </w:r>
          </w:p>
        </w:tc>
        <w:tc>
          <w:tcPr>
            <w:tcW w:type="dxa" w:w="3238"/>
            <w:shd w:fill="FFFFFF" w:val="clear"/>
            <w:tcMar>
              <w:top w:type="dxa" w:w="70"/>
              <w:left w:type="dxa" w:w="120"/>
              <w:bottom w:type="dxa" w:w="70"/>
              <w:right w:type="dxa" w:w="120"/>
            </w:tcMar>
            <w:vAlign w:val="center"/>
          </w:tcPr>
          <w:p>
            <w:r>
              <w:rPr>
                <w:sz w:val="19"/>
                <w:szCs w:val="19"/>
              </w:rPr>
              <w:t xml:space="preserve">검색 결과의 표 목록에서 실제 지역 커버리지(시도 단위/개별 지자체)를 직접 확인</w:t>
            </w:r>
          </w:p>
        </w:tc>
      </w:tr>
      <w:tr>
        <w:tc>
          <w:tcPr>
            <w:tcW w:type="dxa" w:w="2800"/>
            <w:shd w:fill="F2F2F2" w:val="clear"/>
            <w:tcMar>
              <w:top w:type="dxa" w:w="70"/>
              <w:left w:type="dxa" w:w="120"/>
              <w:bottom w:type="dxa" w:w="70"/>
              <w:right w:type="dxa" w:w="120"/>
            </w:tcMar>
            <w:vAlign w:val="center"/>
          </w:tcPr>
          <w:p>
            <w:r>
              <w:rPr>
                <w:sz w:val="19"/>
                <w:szCs w:val="19"/>
              </w:rPr>
              <w:t xml:space="preserve">ValueError: Index contains duplicate entries, cannot reshape</w:t>
            </w:r>
          </w:p>
        </w:tc>
        <w:tc>
          <w:tcPr>
            <w:tcW w:type="dxa" w:w="3600"/>
            <w:shd w:fill="F2F2F2" w:val="clear"/>
            <w:tcMar>
              <w:top w:type="dxa" w:w="70"/>
              <w:left w:type="dxa" w:w="120"/>
              <w:bottom w:type="dxa" w:w="70"/>
              <w:right w:type="dxa" w:w="120"/>
            </w:tcMar>
            <w:vAlign w:val="center"/>
          </w:tcPr>
          <w:p>
            <w:r>
              <w:rPr>
                <w:sz w:val="19"/>
                <w:szCs w:val="19"/>
              </w:rPr>
              <w:t xml:space="preserve">행정구역명 변경(강원도→강원특별자치도 등)으로 같은 코드가 연도별로 다른 명칭으로 기록됨</w:t>
            </w:r>
          </w:p>
        </w:tc>
        <w:tc>
          <w:tcPr>
            <w:tcW w:type="dxa" w:w="3238"/>
            <w:shd w:fill="F2F2F2" w:val="clear"/>
            <w:tcMar>
              <w:top w:type="dxa" w:w="70"/>
              <w:left w:type="dxa" w:w="120"/>
              <w:bottom w:type="dxa" w:w="70"/>
              <w:right w:type="dxa" w:w="120"/>
            </w:tcMar>
            <w:vAlign w:val="center"/>
          </w:tcPr>
          <w:p>
            <w:r>
              <w:rPr>
                <w:sz w:val="19"/>
                <w:szCs w:val="19"/>
              </w:rPr>
              <w:t xml:space="preserve">지역코드(C1) 기준 고정 매핑표를 만들어 명칭 대신 코드로 그룹화</w:t>
            </w:r>
          </w:p>
        </w:tc>
      </w:tr>
      <w:tr>
        <w:tc>
          <w:tcPr>
            <w:tcW w:type="dxa" w:w="2800"/>
            <w:shd w:fill="FFFFFF" w:val="clear"/>
            <w:tcMar>
              <w:top w:type="dxa" w:w="70"/>
              <w:left w:type="dxa" w:w="120"/>
              <w:bottom w:type="dxa" w:w="70"/>
              <w:right w:type="dxa" w:w="120"/>
            </w:tcMar>
            <w:vAlign w:val="center"/>
          </w:tcPr>
          <w:p>
            <w:r>
              <w:rPr>
                <w:sz w:val="19"/>
                <w:szCs w:val="19"/>
              </w:rPr>
              <w:t xml:space="preserve">itmId 항목 중 집계항목이 세부항목과 중복(T8=T6+T7)</w:t>
            </w:r>
          </w:p>
        </w:tc>
        <w:tc>
          <w:tcPr>
            <w:tcW w:type="dxa" w:w="3600"/>
            <w:shd w:fill="FFFFFF" w:val="clear"/>
            <w:tcMar>
              <w:top w:type="dxa" w:w="70"/>
              <w:left w:type="dxa" w:w="120"/>
              <w:bottom w:type="dxa" w:w="70"/>
              <w:right w:type="dxa" w:w="120"/>
            </w:tcMar>
            <w:vAlign w:val="center"/>
          </w:tcPr>
          <w:p>
            <w:r>
              <w:rPr>
                <w:sz w:val="19"/>
                <w:szCs w:val="19"/>
              </w:rPr>
              <w:t xml:space="preserve">표 설계상 “6인 이상”처럼 세부항목의 합산값도 별도 코드로 제공</w:t>
            </w:r>
          </w:p>
        </w:tc>
        <w:tc>
          <w:tcPr>
            <w:tcW w:type="dxa" w:w="3238"/>
            <w:shd w:fill="FFFFFF" w:val="clear"/>
            <w:tcMar>
              <w:top w:type="dxa" w:w="70"/>
              <w:left w:type="dxa" w:w="120"/>
              <w:bottom w:type="dxa" w:w="70"/>
              <w:right w:type="dxa" w:w="120"/>
            </w:tcMar>
            <w:vAlign w:val="center"/>
          </w:tcPr>
          <w:p>
            <w:r>
              <w:rPr>
                <w:sz w:val="19"/>
                <w:szCs w:val="19"/>
              </w:rPr>
              <w:t xml:space="preserve">분석 목적에 맞는 항목만 선택(T0, T1) — 전체 합산 시 중복 항목 제외</w:t>
            </w:r>
          </w:p>
        </w:tc>
      </w:tr>
      <w:tr>
        <w:tc>
          <w:tcPr>
            <w:tcW w:type="dxa" w:w="2800"/>
            <w:shd w:fill="F2F2F2" w:val="clear"/>
            <w:tcMar>
              <w:top w:type="dxa" w:w="70"/>
              <w:left w:type="dxa" w:w="120"/>
              <w:bottom w:type="dxa" w:w="70"/>
              <w:right w:type="dxa" w:w="120"/>
            </w:tcMar>
            <w:vAlign w:val="center"/>
          </w:tcPr>
          <w:p>
            <w:r>
              <w:rPr>
                <w:sz w:val="19"/>
                <w:szCs w:val="19"/>
              </w:rPr>
              <w:t xml:space="preserve">NameError: name 'KOSIS_KEY' is not defined</w:t>
            </w:r>
          </w:p>
        </w:tc>
        <w:tc>
          <w:tcPr>
            <w:tcW w:type="dxa" w:w="3600"/>
            <w:shd w:fill="F2F2F2" w:val="clear"/>
            <w:tcMar>
              <w:top w:type="dxa" w:w="70"/>
              <w:left w:type="dxa" w:w="120"/>
              <w:bottom w:type="dxa" w:w="70"/>
              <w:right w:type="dxa" w:w="120"/>
            </w:tcMar>
            <w:vAlign w:val="center"/>
          </w:tcPr>
          <w:p>
            <w:r>
              <w:rPr>
                <w:sz w:val="19"/>
                <w:szCs w:val="19"/>
              </w:rPr>
              <w:t xml:space="preserve">새 Colab 노트북에서 인증키 불러오는 셀을 실행하지 않음</w:t>
            </w:r>
          </w:p>
        </w:tc>
        <w:tc>
          <w:tcPr>
            <w:tcW w:type="dxa" w:w="3238"/>
            <w:shd w:fill="F2F2F2" w:val="clear"/>
            <w:tcMar>
              <w:top w:type="dxa" w:w="70"/>
              <w:left w:type="dxa" w:w="120"/>
              <w:bottom w:type="dxa" w:w="70"/>
              <w:right w:type="dxa" w:w="120"/>
            </w:tcMar>
            <w:vAlign w:val="center"/>
          </w:tcPr>
          <w:p>
            <w:r>
              <w:rPr>
                <w:sz w:val="19"/>
                <w:szCs w:val="19"/>
              </w:rPr>
              <w:t xml:space="preserve">from google.colab import userdata; KOSIS_KEY = userdata.get("KOSIS_KEY") 를 맨 위에서 재실행</w:t>
            </w:r>
          </w:p>
        </w:tc>
      </w:tr>
      <w:tr>
        <w:tc>
          <w:tcPr>
            <w:tcW w:type="dxa" w:w="2800"/>
            <w:shd w:fill="FFFFFF" w:val="clear"/>
            <w:tcMar>
              <w:top w:type="dxa" w:w="70"/>
              <w:left w:type="dxa" w:w="120"/>
              <w:bottom w:type="dxa" w:w="70"/>
              <w:right w:type="dxa" w:w="120"/>
            </w:tcMar>
            <w:vAlign w:val="center"/>
          </w:tcPr>
          <w:p>
            <w:r>
              <w:rPr>
                <w:sz w:val="19"/>
                <w:szCs w:val="19"/>
              </w:rPr>
              <w:t xml:space="preserve">같은 ‘순이동’인데 수치가 다름(행정자료 vs 조정치)</w:t>
            </w:r>
          </w:p>
        </w:tc>
        <w:tc>
          <w:tcPr>
            <w:tcW w:type="dxa" w:w="3600"/>
            <w:shd w:fill="FFFFFF" w:val="clear"/>
            <w:tcMar>
              <w:top w:type="dxa" w:w="70"/>
              <w:left w:type="dxa" w:w="120"/>
              <w:bottom w:type="dxa" w:w="70"/>
              <w:right w:type="dxa" w:w="120"/>
            </w:tcMar>
            <w:vAlign w:val="center"/>
          </w:tcPr>
          <w:p>
            <w:r>
              <w:rPr>
                <w:sz w:val="19"/>
                <w:szCs w:val="19"/>
              </w:rPr>
              <w:t xml:space="preserve">표 항목명이 “Administrative reports” 기준 — 통계청 공식 보도자료는 보정을 거친 수치</w:t>
            </w:r>
          </w:p>
        </w:tc>
        <w:tc>
          <w:tcPr>
            <w:tcW w:type="dxa" w:w="3238"/>
            <w:shd w:fill="FFFFFF" w:val="clear"/>
            <w:tcMar>
              <w:top w:type="dxa" w:w="70"/>
              <w:left w:type="dxa" w:w="120"/>
              <w:bottom w:type="dxa" w:w="70"/>
              <w:right w:type="dxa" w:w="120"/>
            </w:tcMar>
            <w:vAlign w:val="center"/>
          </w:tcPr>
          <w:p>
            <w:r>
              <w:rPr>
                <w:sz w:val="19"/>
                <w:szCs w:val="19"/>
              </w:rPr>
              <w:t xml:space="preserve">집계 범위를 넓혀(개별 시 → 광역권 전체) 비교해 방향성·규모가 일치하는지 교차검증</w:t>
            </w:r>
          </w:p>
        </w:tc>
      </w:tr>
      <w:tr>
        <w:tc>
          <w:tcPr>
            <w:tcW w:type="dxa" w:w="2800"/>
            <w:shd w:fill="F2F2F2" w:val="clear"/>
            <w:tcMar>
              <w:top w:type="dxa" w:w="70"/>
              <w:left w:type="dxa" w:w="120"/>
              <w:bottom w:type="dxa" w:w="70"/>
              <w:right w:type="dxa" w:w="120"/>
            </w:tcMar>
            <w:vAlign w:val="center"/>
          </w:tcPr>
          <w:p>
            <w:r>
              <w:rPr>
                <w:sz w:val="19"/>
                <w:szCs w:val="19"/>
              </w:rPr>
              <w:t xml:space="preserve">newEstPrdCnt=3 때문에 최근 3개년치만 수집됨(세 번째 반복)</w:t>
            </w:r>
          </w:p>
        </w:tc>
        <w:tc>
          <w:tcPr>
            <w:tcW w:type="dxa" w:w="3600"/>
            <w:shd w:fill="F2F2F2" w:val="clear"/>
            <w:tcMar>
              <w:top w:type="dxa" w:w="70"/>
              <w:left w:type="dxa" w:w="120"/>
              <w:bottom w:type="dxa" w:w="70"/>
              <w:right w:type="dxa" w:w="120"/>
            </w:tcMar>
            <w:vAlign w:val="center"/>
          </w:tcPr>
          <w:p>
            <w:r>
              <w:rPr>
                <w:sz w:val="19"/>
                <w:szCs w:val="19"/>
              </w:rPr>
              <w:t xml:space="preserve">KOSIS 자동생성 URL의 기본 옵션이 “최신 3개 시점”으로 제한</w:t>
            </w:r>
          </w:p>
        </w:tc>
        <w:tc>
          <w:tcPr>
            <w:tcW w:type="dxa" w:w="3238"/>
            <w:shd w:fill="F2F2F2" w:val="clear"/>
            <w:tcMar>
              <w:top w:type="dxa" w:w="70"/>
              <w:left w:type="dxa" w:w="120"/>
              <w:bottom w:type="dxa" w:w="70"/>
              <w:right w:type="dxa" w:w="120"/>
            </w:tcMar>
            <w:vAlign w:val="center"/>
          </w:tcPr>
          <w:p>
            <w:r>
              <w:rPr>
                <w:sz w:val="19"/>
                <w:szCs w:val="19"/>
              </w:rPr>
              <w:t xml:space="preserve">startPrdDe/endPrdDe로 명시적 기간 지정 — 매번 자동생성 URL을 그대로 쓰지 말고 이 옵션부터 확인</w:t>
            </w:r>
          </w:p>
        </w:tc>
      </w:tr>
      <w:tr>
        <w:tc>
          <w:tcPr>
            <w:tcW w:type="dxa" w:w="2800"/>
            <w:shd w:fill="FFFFFF" w:val="clear"/>
            <w:tcMar>
              <w:top w:type="dxa" w:w="70"/>
              <w:left w:type="dxa" w:w="120"/>
              <w:bottom w:type="dxa" w:w="70"/>
              <w:right w:type="dxa" w:w="120"/>
            </w:tcMar>
            <w:vAlign w:val="center"/>
          </w:tcPr>
          <w:p>
            <w:r>
              <w:rPr>
                <w:sz w:val="19"/>
                <w:szCs w:val="19"/>
              </w:rPr>
              <w:t xml:space="preserve">GRDP 1위 지역과 GRNI 1위 지역이 다름(울산 vs 서울)</w:t>
            </w:r>
          </w:p>
        </w:tc>
        <w:tc>
          <w:tcPr>
            <w:tcW w:type="dxa" w:w="3600"/>
            <w:shd w:fill="FFFFFF" w:val="clear"/>
            <w:tcMar>
              <w:top w:type="dxa" w:w="70"/>
              <w:left w:type="dxa" w:w="120"/>
              <w:bottom w:type="dxa" w:w="70"/>
              <w:right w:type="dxa" w:w="120"/>
            </w:tcMar>
            <w:vAlign w:val="center"/>
          </w:tcPr>
          <w:p>
            <w:r>
              <w:rPr>
                <w:sz w:val="19"/>
                <w:szCs w:val="19"/>
              </w:rPr>
              <w:t xml:space="preserve">GRDP(생산지표)와 GRNI(귀속소득지표)는 서로 다른 개념 — 혼동하면 지역격차 해석이 뒤바뀜</w:t>
            </w:r>
          </w:p>
        </w:tc>
        <w:tc>
          <w:tcPr>
            <w:tcW w:type="dxa" w:w="3238"/>
            <w:shd w:fill="FFFFFF" w:val="clear"/>
            <w:tcMar>
              <w:top w:type="dxa" w:w="70"/>
              <w:left w:type="dxa" w:w="120"/>
              <w:bottom w:type="dxa" w:w="70"/>
              <w:right w:type="dxa" w:w="120"/>
            </w:tcMar>
            <w:vAlign w:val="center"/>
          </w:tcPr>
          <w:p>
            <w:r>
              <w:rPr>
                <w:sz w:val="19"/>
                <w:szCs w:val="19"/>
              </w:rPr>
              <w:t xml:space="preserve">ITM_NM_ENG로 지표 정의를 반드시 확인하고, 생산지표와 소득지표를 함께 제시</w:t>
            </w:r>
          </w:p>
        </w:tc>
      </w:tr>
    </w:tbl>
    <w:p>
      <w:pPr>
        <w:pStyle w:val="Heading1"/>
        <w:pBdr>
          <w:bottom w:val="single" w:color="1F3864" w:sz="8" w:space="4"/>
        </w:pBdr>
        <w:spacing w:after="160" w:before="360"/>
      </w:pPr>
      <w:r>
        <w:rPr>
          <w:b/>
          <w:bCs/>
          <w:color w:val="1F3864"/>
          <w:sz w:val="30"/>
          <w:szCs w:val="30"/>
        </w:rPr>
        <w:t xml:space="preserve">12. 부록 — 사용한 통계표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800"/>
        <w:gridCol w:w="1638"/>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표 이름</w:t>
            </w:r>
          </w:p>
        </w:tc>
        <w:tc>
          <w:tcPr>
            <w:tcW w:type="dxa" w:w="1600"/>
            <w:shd w:fill="1F3864" w:val="clear"/>
            <w:tcMar>
              <w:top w:type="dxa" w:w="80"/>
              <w:left w:type="dxa" w:w="120"/>
              <w:bottom w:type="dxa" w:w="80"/>
              <w:right w:type="dxa" w:w="120"/>
            </w:tcMar>
            <w:vAlign w:val="center"/>
          </w:tcPr>
          <w:p>
            <w:pPr>
              <w:jc w:val="left"/>
            </w:pPr>
            <w:r>
              <w:rPr>
                <w:b/>
                <w:bCs/>
                <w:color w:val="FFFFFF"/>
                <w:sz w:val="19"/>
                <w:szCs w:val="19"/>
              </w:rPr>
              <w:t xml:space="preserve">orgId</w:t>
            </w:r>
          </w:p>
        </w:tc>
        <w:tc>
          <w:tcPr>
            <w:tcW w:type="dxa" w:w="2800"/>
            <w:shd w:fill="1F3864" w:val="clear"/>
            <w:tcMar>
              <w:top w:type="dxa" w:w="80"/>
              <w:left w:type="dxa" w:w="120"/>
              <w:bottom w:type="dxa" w:w="80"/>
              <w:right w:type="dxa" w:w="120"/>
            </w:tcMar>
            <w:vAlign w:val="center"/>
          </w:tcPr>
          <w:p>
            <w:pPr>
              <w:jc w:val="left"/>
            </w:pPr>
            <w:r>
              <w:rPr>
                <w:b/>
                <w:bCs/>
                <w:color w:val="FFFFFF"/>
                <w:sz w:val="19"/>
                <w:szCs w:val="19"/>
              </w:rPr>
              <w:t xml:space="preserve">tblId</w:t>
            </w:r>
          </w:p>
        </w:tc>
        <w:tc>
          <w:tcPr>
            <w:tcW w:type="dxa" w:w="1638"/>
            <w:shd w:fill="1F3864" w:val="clear"/>
            <w:tcMar>
              <w:top w:type="dxa" w:w="80"/>
              <w:left w:type="dxa" w:w="120"/>
              <w:bottom w:type="dxa" w:w="80"/>
              <w:right w:type="dxa" w:w="120"/>
            </w:tcMar>
            <w:vAlign w:val="center"/>
          </w:tcPr>
          <w:p>
            <w:pPr>
              <w:jc w:val="left"/>
            </w:pPr>
            <w:r>
              <w:rPr>
                <w:b/>
                <w:bCs/>
                <w:color w:val="FFFFFF"/>
                <w:sz w:val="19"/>
                <w:szCs w:val="19"/>
              </w:rPr>
              <w:t xml:space="preserve">itmId</w:t>
            </w:r>
          </w:p>
        </w:tc>
      </w:tr>
      <w:tr>
        <w:tc>
          <w:tcPr>
            <w:tcW w:type="dxa" w:w="3600"/>
            <w:shd w:fill="FFFFFF" w:val="clear"/>
            <w:tcMar>
              <w:top w:type="dxa" w:w="70"/>
              <w:left w:type="dxa" w:w="120"/>
              <w:bottom w:type="dxa" w:w="70"/>
              <w:right w:type="dxa" w:w="120"/>
            </w:tcMar>
            <w:vAlign w:val="center"/>
          </w:tcPr>
          <w:p>
            <w:r>
              <w:rPr>
                <w:sz w:val="19"/>
                <w:szCs w:val="19"/>
              </w:rPr>
              <w:t xml:space="preserve">행정구역(시군구)별, 성별 인구수</w:t>
            </w:r>
          </w:p>
        </w:tc>
        <w:tc>
          <w:tcPr>
            <w:tcW w:type="dxa" w:w="1600"/>
            <w:shd w:fill="FFFFFF" w:val="clear"/>
            <w:tcMar>
              <w:top w:type="dxa" w:w="70"/>
              <w:left w:type="dxa" w:w="120"/>
              <w:bottom w:type="dxa" w:w="70"/>
              <w:right w:type="dxa" w:w="120"/>
            </w:tcMar>
            <w:vAlign w:val="center"/>
          </w:tcPr>
          <w:p>
            <w:r>
              <w:rPr>
                <w:sz w:val="19"/>
                <w:szCs w:val="19"/>
              </w:rPr>
              <w:t xml:space="preserve">101</w:t>
            </w:r>
          </w:p>
        </w:tc>
        <w:tc>
          <w:tcPr>
            <w:tcW w:type="dxa" w:w="2800"/>
            <w:shd w:fill="FFFFFF" w:val="clear"/>
            <w:tcMar>
              <w:top w:type="dxa" w:w="70"/>
              <w:left w:type="dxa" w:w="120"/>
              <w:bottom w:type="dxa" w:w="70"/>
              <w:right w:type="dxa" w:w="120"/>
            </w:tcMar>
            <w:vAlign w:val="center"/>
          </w:tcPr>
          <w:p>
            <w:r>
              <w:rPr>
                <w:sz w:val="19"/>
                <w:szCs w:val="19"/>
              </w:rPr>
              <w:t xml:space="preserve">DT_1B040A3</w:t>
            </w:r>
          </w:p>
        </w:tc>
        <w:tc>
          <w:tcPr>
            <w:tcW w:type="dxa" w:w="1638"/>
            <w:shd w:fill="FFFFFF" w:val="clear"/>
            <w:tcMar>
              <w:top w:type="dxa" w:w="70"/>
              <w:left w:type="dxa" w:w="120"/>
              <w:bottom w:type="dxa" w:w="70"/>
              <w:right w:type="dxa" w:w="120"/>
            </w:tcMar>
            <w:vAlign w:val="center"/>
          </w:tcPr>
          <w:p>
            <w:r>
              <w:rPr>
                <w:sz w:val="19"/>
                <w:szCs w:val="19"/>
              </w:rPr>
              <w:t xml:space="preserve">T20/T21/T22</w:t>
            </w:r>
          </w:p>
        </w:tc>
      </w:tr>
      <w:tr>
        <w:tc>
          <w:tcPr>
            <w:tcW w:type="dxa" w:w="3600"/>
            <w:shd w:fill="F2F2F2" w:val="clear"/>
            <w:tcMar>
              <w:top w:type="dxa" w:w="70"/>
              <w:left w:type="dxa" w:w="120"/>
              <w:bottom w:type="dxa" w:w="70"/>
              <w:right w:type="dxa" w:w="120"/>
            </w:tcMar>
            <w:vAlign w:val="center"/>
          </w:tcPr>
          <w:p>
            <w:r>
              <w:rPr>
                <w:sz w:val="19"/>
                <w:szCs w:val="19"/>
              </w:rPr>
              <w:t xml:space="preserve">행정구역(읍면동)별/5세별 주민등록인구</w:t>
            </w:r>
          </w:p>
        </w:tc>
        <w:tc>
          <w:tcPr>
            <w:tcW w:type="dxa" w:w="1600"/>
            <w:shd w:fill="F2F2F2" w:val="clear"/>
            <w:tcMar>
              <w:top w:type="dxa" w:w="70"/>
              <w:left w:type="dxa" w:w="120"/>
              <w:bottom w:type="dxa" w:w="70"/>
              <w:right w:type="dxa" w:w="120"/>
            </w:tcMar>
            <w:vAlign w:val="center"/>
          </w:tcPr>
          <w:p>
            <w:r>
              <w:rPr>
                <w:sz w:val="19"/>
                <w:szCs w:val="19"/>
              </w:rPr>
              <w:t xml:space="preserve">101</w:t>
            </w:r>
          </w:p>
        </w:tc>
        <w:tc>
          <w:tcPr>
            <w:tcW w:type="dxa" w:w="2800"/>
            <w:shd w:fill="F2F2F2" w:val="clear"/>
            <w:tcMar>
              <w:top w:type="dxa" w:w="70"/>
              <w:left w:type="dxa" w:w="120"/>
              <w:bottom w:type="dxa" w:w="70"/>
              <w:right w:type="dxa" w:w="120"/>
            </w:tcMar>
            <w:vAlign w:val="center"/>
          </w:tcPr>
          <w:p>
            <w:r>
              <w:rPr>
                <w:sz w:val="19"/>
                <w:szCs w:val="19"/>
              </w:rPr>
              <w:t xml:space="preserve">DT_1B04005N</w:t>
            </w:r>
          </w:p>
        </w:tc>
        <w:tc>
          <w:tcPr>
            <w:tcW w:type="dxa" w:w="1638"/>
            <w:shd w:fill="F2F2F2" w:val="clear"/>
            <w:tcMar>
              <w:top w:type="dxa" w:w="70"/>
              <w:left w:type="dxa" w:w="120"/>
              <w:bottom w:type="dxa" w:w="70"/>
              <w:right w:type="dxa" w:w="120"/>
            </w:tcMar>
            <w:vAlign w:val="center"/>
          </w:tcPr>
          <w:p>
            <w:r>
              <w:rPr>
                <w:sz w:val="19"/>
                <w:szCs w:val="19"/>
              </w:rPr>
              <w:t xml:space="preserve">T2/T3/T4</w:t>
            </w:r>
          </w:p>
        </w:tc>
      </w:tr>
      <w:tr>
        <w:tc>
          <w:tcPr>
            <w:tcW w:type="dxa" w:w="3600"/>
            <w:shd w:fill="FFFFFF" w:val="clear"/>
            <w:tcMar>
              <w:top w:type="dxa" w:w="70"/>
              <w:left w:type="dxa" w:w="120"/>
              <w:bottom w:type="dxa" w:w="70"/>
              <w:right w:type="dxa" w:w="120"/>
            </w:tcMar>
            <w:vAlign w:val="center"/>
          </w:tcPr>
          <w:p>
            <w:r>
              <w:rPr>
                <w:sz w:val="19"/>
                <w:szCs w:val="19"/>
              </w:rPr>
              <w:t xml:space="preserve">고용률(시도)</w:t>
            </w:r>
          </w:p>
        </w:tc>
        <w:tc>
          <w:tcPr>
            <w:tcW w:type="dxa" w:w="1600"/>
            <w:shd w:fill="FFFFFF" w:val="clear"/>
            <w:tcMar>
              <w:top w:type="dxa" w:w="70"/>
              <w:left w:type="dxa" w:w="120"/>
              <w:bottom w:type="dxa" w:w="70"/>
              <w:right w:type="dxa" w:w="120"/>
            </w:tcMar>
            <w:vAlign w:val="center"/>
          </w:tcPr>
          <w:p>
            <w:r>
              <w:rPr>
                <w:sz w:val="19"/>
                <w:szCs w:val="19"/>
              </w:rPr>
              <w:t xml:space="preserve">101</w:t>
            </w:r>
          </w:p>
        </w:tc>
        <w:tc>
          <w:tcPr>
            <w:tcW w:type="dxa" w:w="2800"/>
            <w:shd w:fill="FFFFFF" w:val="clear"/>
            <w:tcMar>
              <w:top w:type="dxa" w:w="70"/>
              <w:left w:type="dxa" w:w="120"/>
              <w:bottom w:type="dxa" w:w="70"/>
              <w:right w:type="dxa" w:w="120"/>
            </w:tcMar>
            <w:vAlign w:val="center"/>
          </w:tcPr>
          <w:p>
            <w:r>
              <w:rPr>
                <w:sz w:val="19"/>
                <w:szCs w:val="19"/>
              </w:rPr>
              <w:t xml:space="preserve">INH_1DA7014S_03</w:t>
            </w:r>
          </w:p>
        </w:tc>
        <w:tc>
          <w:tcPr>
            <w:tcW w:type="dxa" w:w="1638"/>
            <w:shd w:fill="FFFFFF" w:val="clear"/>
            <w:tcMar>
              <w:top w:type="dxa" w:w="70"/>
              <w:left w:type="dxa" w:w="120"/>
              <w:bottom w:type="dxa" w:w="70"/>
              <w:right w:type="dxa" w:w="120"/>
            </w:tcMar>
            <w:vAlign w:val="center"/>
          </w:tcPr>
          <w:p>
            <w:r>
              <w:rPr>
                <w:sz w:val="19"/>
                <w:szCs w:val="19"/>
              </w:rPr>
              <w:t xml:space="preserve">T90</w:t>
            </w:r>
          </w:p>
        </w:tc>
      </w:tr>
      <w:tr>
        <w:tc>
          <w:tcPr>
            <w:tcW w:type="dxa" w:w="3600"/>
            <w:shd w:fill="F2F2F2" w:val="clear"/>
            <w:tcMar>
              <w:top w:type="dxa" w:w="70"/>
              <w:left w:type="dxa" w:w="120"/>
              <w:bottom w:type="dxa" w:w="70"/>
              <w:right w:type="dxa" w:w="120"/>
            </w:tcMar>
            <w:vAlign w:val="center"/>
          </w:tcPr>
          <w:p>
            <w:r>
              <w:rPr>
                <w:sz w:val="19"/>
                <w:szCs w:val="19"/>
              </w:rPr>
              <w:t xml:space="preserve">행정구역(시도)/성별 실업률</w:t>
            </w:r>
          </w:p>
        </w:tc>
        <w:tc>
          <w:tcPr>
            <w:tcW w:type="dxa" w:w="1600"/>
            <w:shd w:fill="F2F2F2" w:val="clear"/>
            <w:tcMar>
              <w:top w:type="dxa" w:w="70"/>
              <w:left w:type="dxa" w:w="120"/>
              <w:bottom w:type="dxa" w:w="70"/>
              <w:right w:type="dxa" w:w="120"/>
            </w:tcMar>
            <w:vAlign w:val="center"/>
          </w:tcPr>
          <w:p>
            <w:r>
              <w:rPr>
                <w:sz w:val="19"/>
                <w:szCs w:val="19"/>
              </w:rPr>
              <w:t xml:space="preserve">101</w:t>
            </w:r>
          </w:p>
        </w:tc>
        <w:tc>
          <w:tcPr>
            <w:tcW w:type="dxa" w:w="2800"/>
            <w:shd w:fill="F2F2F2" w:val="clear"/>
            <w:tcMar>
              <w:top w:type="dxa" w:w="70"/>
              <w:left w:type="dxa" w:w="120"/>
              <w:bottom w:type="dxa" w:w="70"/>
              <w:right w:type="dxa" w:w="120"/>
            </w:tcMar>
            <w:vAlign w:val="center"/>
          </w:tcPr>
          <w:p>
            <w:r>
              <w:rPr>
                <w:sz w:val="19"/>
                <w:szCs w:val="19"/>
              </w:rPr>
              <w:t xml:space="preserve">DT_1DA7104S</w:t>
            </w:r>
          </w:p>
        </w:tc>
        <w:tc>
          <w:tcPr>
            <w:tcW w:type="dxa" w:w="1638"/>
            <w:shd w:fill="F2F2F2" w:val="clear"/>
            <w:tcMar>
              <w:top w:type="dxa" w:w="70"/>
              <w:left w:type="dxa" w:w="120"/>
              <w:bottom w:type="dxa" w:w="70"/>
              <w:right w:type="dxa" w:w="120"/>
            </w:tcMar>
            <w:vAlign w:val="center"/>
          </w:tcPr>
          <w:p>
            <w:r>
              <w:rPr>
                <w:sz w:val="19"/>
                <w:szCs w:val="19"/>
              </w:rPr>
              <w:t xml:space="preserve">T80</w:t>
            </w:r>
          </w:p>
        </w:tc>
      </w:tr>
      <w:tr>
        <w:tc>
          <w:tcPr>
            <w:tcW w:type="dxa" w:w="3600"/>
            <w:shd w:fill="FFFFFF" w:val="clear"/>
            <w:tcMar>
              <w:top w:type="dxa" w:w="70"/>
              <w:left w:type="dxa" w:w="120"/>
              <w:bottom w:type="dxa" w:w="70"/>
              <w:right w:type="dxa" w:w="120"/>
            </w:tcMar>
            <w:vAlign w:val="center"/>
          </w:tcPr>
          <w:p>
            <w:r>
              <w:rPr>
                <w:sz w:val="19"/>
                <w:szCs w:val="19"/>
              </w:rPr>
              <w:t xml:space="preserve">성 및 연령별 1인가구 - 시도</w:t>
            </w:r>
          </w:p>
        </w:tc>
        <w:tc>
          <w:tcPr>
            <w:tcW w:type="dxa" w:w="1600"/>
            <w:shd w:fill="FFFFFF" w:val="clear"/>
            <w:tcMar>
              <w:top w:type="dxa" w:w="70"/>
              <w:left w:type="dxa" w:w="120"/>
              <w:bottom w:type="dxa" w:w="70"/>
              <w:right w:type="dxa" w:w="120"/>
            </w:tcMar>
            <w:vAlign w:val="center"/>
          </w:tcPr>
          <w:p>
            <w:r>
              <w:rPr>
                <w:sz w:val="19"/>
                <w:szCs w:val="19"/>
              </w:rPr>
              <w:t xml:space="preserve">101</w:t>
            </w:r>
          </w:p>
        </w:tc>
        <w:tc>
          <w:tcPr>
            <w:tcW w:type="dxa" w:w="2800"/>
            <w:shd w:fill="FFFFFF" w:val="clear"/>
            <w:tcMar>
              <w:top w:type="dxa" w:w="70"/>
              <w:left w:type="dxa" w:w="120"/>
              <w:bottom w:type="dxa" w:w="70"/>
              <w:right w:type="dxa" w:w="120"/>
            </w:tcMar>
            <w:vAlign w:val="center"/>
          </w:tcPr>
          <w:p>
            <w:r>
              <w:rPr>
                <w:sz w:val="19"/>
                <w:szCs w:val="19"/>
              </w:rPr>
              <w:t xml:space="preserve">DT_1PL1502</w:t>
            </w:r>
          </w:p>
        </w:tc>
        <w:tc>
          <w:tcPr>
            <w:tcW w:type="dxa" w:w="1638"/>
            <w:shd w:fill="FFFFFF" w:val="clear"/>
            <w:tcMar>
              <w:top w:type="dxa" w:w="70"/>
              <w:left w:type="dxa" w:w="120"/>
              <w:bottom w:type="dxa" w:w="70"/>
              <w:right w:type="dxa" w:w="120"/>
            </w:tcMar>
            <w:vAlign w:val="center"/>
          </w:tcPr>
          <w:p>
            <w:r>
              <w:rPr>
                <w:sz w:val="19"/>
                <w:szCs w:val="19"/>
              </w:rPr>
              <w:t xml:space="preserve">T00/T10/T20</w:t>
            </w:r>
          </w:p>
        </w:tc>
      </w:tr>
      <w:tr>
        <w:tc>
          <w:tcPr>
            <w:tcW w:type="dxa" w:w="3600"/>
            <w:shd w:fill="F2F2F2" w:val="clear"/>
            <w:tcMar>
              <w:top w:type="dxa" w:w="70"/>
              <w:left w:type="dxa" w:w="120"/>
              <w:bottom w:type="dxa" w:w="70"/>
              <w:right w:type="dxa" w:w="120"/>
            </w:tcMar>
            <w:vAlign w:val="center"/>
          </w:tcPr>
          <w:p>
            <w:r>
              <w:rPr>
                <w:sz w:val="19"/>
                <w:szCs w:val="19"/>
              </w:rPr>
              <w:t xml:space="preserve">가구원수별 가구 - 읍면동</w:t>
            </w:r>
          </w:p>
        </w:tc>
        <w:tc>
          <w:tcPr>
            <w:tcW w:type="dxa" w:w="1600"/>
            <w:shd w:fill="F2F2F2" w:val="clear"/>
            <w:tcMar>
              <w:top w:type="dxa" w:w="70"/>
              <w:left w:type="dxa" w:w="120"/>
              <w:bottom w:type="dxa" w:w="70"/>
              <w:right w:type="dxa" w:w="120"/>
            </w:tcMar>
            <w:vAlign w:val="center"/>
          </w:tcPr>
          <w:p>
            <w:r>
              <w:rPr>
                <w:sz w:val="19"/>
                <w:szCs w:val="19"/>
              </w:rPr>
              <w:t xml:space="preserve">101</w:t>
            </w:r>
          </w:p>
        </w:tc>
        <w:tc>
          <w:tcPr>
            <w:tcW w:type="dxa" w:w="2800"/>
            <w:shd w:fill="F2F2F2" w:val="clear"/>
            <w:tcMar>
              <w:top w:type="dxa" w:w="70"/>
              <w:left w:type="dxa" w:w="120"/>
              <w:bottom w:type="dxa" w:w="70"/>
              <w:right w:type="dxa" w:w="120"/>
            </w:tcMar>
            <w:vAlign w:val="center"/>
          </w:tcPr>
          <w:p>
            <w:r>
              <w:rPr>
                <w:sz w:val="19"/>
                <w:szCs w:val="19"/>
              </w:rPr>
              <w:t xml:space="preserve">DT_1JC1502</w:t>
            </w:r>
          </w:p>
        </w:tc>
        <w:tc>
          <w:tcPr>
            <w:tcW w:type="dxa" w:w="1638"/>
            <w:shd w:fill="F2F2F2" w:val="clear"/>
            <w:tcMar>
              <w:top w:type="dxa" w:w="70"/>
              <w:left w:type="dxa" w:w="120"/>
              <w:bottom w:type="dxa" w:w="70"/>
              <w:right w:type="dxa" w:w="120"/>
            </w:tcMar>
            <w:vAlign w:val="center"/>
          </w:tcPr>
          <w:p>
            <w:r>
              <w:rPr>
                <w:sz w:val="19"/>
                <w:szCs w:val="19"/>
              </w:rPr>
              <w:t xml:space="preserve">T0~T8</w:t>
            </w:r>
          </w:p>
        </w:tc>
      </w:tr>
      <w:tr>
        <w:tc>
          <w:tcPr>
            <w:tcW w:type="dxa" w:w="3600"/>
            <w:shd w:fill="FFFFFF" w:val="clear"/>
            <w:tcMar>
              <w:top w:type="dxa" w:w="70"/>
              <w:left w:type="dxa" w:w="120"/>
              <w:bottom w:type="dxa" w:w="70"/>
              <w:right w:type="dxa" w:w="120"/>
            </w:tcMar>
            <w:vAlign w:val="center"/>
          </w:tcPr>
          <w:p>
            <w:r>
              <w:rPr>
                <w:sz w:val="19"/>
                <w:szCs w:val="19"/>
              </w:rPr>
              <w:t xml:space="preserve">행정구역별(읍면동) 총인구</w:t>
            </w:r>
          </w:p>
        </w:tc>
        <w:tc>
          <w:tcPr>
            <w:tcW w:type="dxa" w:w="1600"/>
            <w:shd w:fill="FFFFFF" w:val="clear"/>
            <w:tcMar>
              <w:top w:type="dxa" w:w="70"/>
              <w:left w:type="dxa" w:w="120"/>
              <w:bottom w:type="dxa" w:w="70"/>
              <w:right w:type="dxa" w:w="120"/>
            </w:tcMar>
            <w:vAlign w:val="center"/>
          </w:tcPr>
          <w:p>
            <w:r>
              <w:rPr>
                <w:sz w:val="19"/>
                <w:szCs w:val="19"/>
              </w:rPr>
              <w:t xml:space="preserve">101</w:t>
            </w:r>
          </w:p>
        </w:tc>
        <w:tc>
          <w:tcPr>
            <w:tcW w:type="dxa" w:w="2800"/>
            <w:shd w:fill="FFFFFF" w:val="clear"/>
            <w:tcMar>
              <w:top w:type="dxa" w:w="70"/>
              <w:left w:type="dxa" w:w="120"/>
              <w:bottom w:type="dxa" w:w="70"/>
              <w:right w:type="dxa" w:w="120"/>
            </w:tcMar>
            <w:vAlign w:val="center"/>
          </w:tcPr>
          <w:p>
            <w:r>
              <w:rPr>
                <w:sz w:val="19"/>
                <w:szCs w:val="19"/>
              </w:rPr>
              <w:t xml:space="preserve">DT_1IN1502</w:t>
            </w:r>
          </w:p>
        </w:tc>
        <w:tc>
          <w:tcPr>
            <w:tcW w:type="dxa" w:w="1638"/>
            <w:shd w:fill="FFFFFF" w:val="clear"/>
            <w:tcMar>
              <w:top w:type="dxa" w:w="70"/>
              <w:left w:type="dxa" w:w="120"/>
              <w:bottom w:type="dxa" w:w="70"/>
              <w:right w:type="dxa" w:w="120"/>
            </w:tcMar>
            <w:vAlign w:val="center"/>
          </w:tcPr>
          <w:p>
            <w:r>
              <w:rPr>
                <w:sz w:val="19"/>
                <w:szCs w:val="19"/>
              </w:rPr>
              <w:t xml:space="preserve">T100</w:t>
            </w:r>
          </w:p>
        </w:tc>
      </w:tr>
      <w:tr>
        <w:tc>
          <w:tcPr>
            <w:tcW w:type="dxa" w:w="3600"/>
            <w:shd w:fill="F2F2F2" w:val="clear"/>
            <w:tcMar>
              <w:top w:type="dxa" w:w="70"/>
              <w:left w:type="dxa" w:w="120"/>
              <w:bottom w:type="dxa" w:w="70"/>
              <w:right w:type="dxa" w:w="120"/>
            </w:tcMar>
            <w:vAlign w:val="center"/>
          </w:tcPr>
          <w:p>
            <w:r>
              <w:rPr>
                <w:sz w:val="19"/>
                <w:szCs w:val="19"/>
              </w:rPr>
              <w:t xml:space="preserve">행정구역(시군구)별 국내인구이동통계(연령별)</w:t>
            </w:r>
          </w:p>
        </w:tc>
        <w:tc>
          <w:tcPr>
            <w:tcW w:type="dxa" w:w="1600"/>
            <w:shd w:fill="F2F2F2" w:val="clear"/>
            <w:tcMar>
              <w:top w:type="dxa" w:w="70"/>
              <w:left w:type="dxa" w:w="120"/>
              <w:bottom w:type="dxa" w:w="70"/>
              <w:right w:type="dxa" w:w="120"/>
            </w:tcMar>
            <w:vAlign w:val="center"/>
          </w:tcPr>
          <w:p>
            <w:r>
              <w:rPr>
                <w:sz w:val="19"/>
                <w:szCs w:val="19"/>
              </w:rPr>
              <w:t xml:space="preserve">101</w:t>
            </w:r>
          </w:p>
        </w:tc>
        <w:tc>
          <w:tcPr>
            <w:tcW w:type="dxa" w:w="2800"/>
            <w:shd w:fill="F2F2F2" w:val="clear"/>
            <w:tcMar>
              <w:top w:type="dxa" w:w="70"/>
              <w:left w:type="dxa" w:w="120"/>
              <w:bottom w:type="dxa" w:w="70"/>
              <w:right w:type="dxa" w:w="120"/>
            </w:tcMar>
            <w:vAlign w:val="center"/>
          </w:tcPr>
          <w:p>
            <w:r>
              <w:rPr>
                <w:sz w:val="19"/>
                <w:szCs w:val="19"/>
              </w:rPr>
              <w:t xml:space="preserve">DT_1B26001_A03</w:t>
            </w:r>
          </w:p>
        </w:tc>
        <w:tc>
          <w:tcPr>
            <w:tcW w:type="dxa" w:w="1638"/>
            <w:shd w:fill="F2F2F2" w:val="clear"/>
            <w:tcMar>
              <w:top w:type="dxa" w:w="70"/>
              <w:left w:type="dxa" w:w="120"/>
              <w:bottom w:type="dxa" w:w="70"/>
              <w:right w:type="dxa" w:w="120"/>
            </w:tcMar>
            <w:vAlign w:val="center"/>
          </w:tcPr>
          <w:p>
            <w:r>
              <w:rPr>
                <w:sz w:val="19"/>
                <w:szCs w:val="19"/>
              </w:rPr>
              <w:t xml:space="preserve">T10/T20/T25</w:t>
            </w:r>
          </w:p>
        </w:tc>
      </w:tr>
      <w:tr>
        <w:tc>
          <w:tcPr>
            <w:tcW w:type="dxa" w:w="3600"/>
            <w:shd w:fill="FFFFFF" w:val="clear"/>
            <w:tcMar>
              <w:top w:type="dxa" w:w="70"/>
              <w:left w:type="dxa" w:w="120"/>
              <w:bottom w:type="dxa" w:w="70"/>
              <w:right w:type="dxa" w:w="120"/>
            </w:tcMar>
            <w:vAlign w:val="center"/>
          </w:tcPr>
          <w:p>
            <w:r>
              <w:rPr>
                <w:sz w:val="19"/>
                <w:szCs w:val="19"/>
              </w:rPr>
              <w:t xml:space="preserve">1인당 GRDP(시도)</w:t>
            </w:r>
          </w:p>
        </w:tc>
        <w:tc>
          <w:tcPr>
            <w:tcW w:type="dxa" w:w="1600"/>
            <w:shd w:fill="FFFFFF" w:val="clear"/>
            <w:tcMar>
              <w:top w:type="dxa" w:w="70"/>
              <w:left w:type="dxa" w:w="120"/>
              <w:bottom w:type="dxa" w:w="70"/>
              <w:right w:type="dxa" w:w="120"/>
            </w:tcMar>
            <w:vAlign w:val="center"/>
          </w:tcPr>
          <w:p>
            <w:r>
              <w:rPr>
                <w:sz w:val="19"/>
                <w:szCs w:val="19"/>
              </w:rPr>
              <w:t xml:space="preserve">101</w:t>
            </w:r>
          </w:p>
        </w:tc>
        <w:tc>
          <w:tcPr>
            <w:tcW w:type="dxa" w:w="2800"/>
            <w:shd w:fill="FFFFFF" w:val="clear"/>
            <w:tcMar>
              <w:top w:type="dxa" w:w="70"/>
              <w:left w:type="dxa" w:w="120"/>
              <w:bottom w:type="dxa" w:w="70"/>
              <w:right w:type="dxa" w:w="120"/>
            </w:tcMar>
            <w:vAlign w:val="center"/>
          </w:tcPr>
          <w:p>
            <w:r>
              <w:rPr>
                <w:sz w:val="19"/>
                <w:szCs w:val="19"/>
              </w:rPr>
              <w:t xml:space="preserve">INH_1C96_02</w:t>
            </w:r>
          </w:p>
        </w:tc>
        <w:tc>
          <w:tcPr>
            <w:tcW w:type="dxa" w:w="1638"/>
            <w:shd w:fill="FFFFFF" w:val="clear"/>
            <w:tcMar>
              <w:top w:type="dxa" w:w="70"/>
              <w:left w:type="dxa" w:w="120"/>
              <w:bottom w:type="dxa" w:w="70"/>
              <w:right w:type="dxa" w:w="120"/>
            </w:tcMar>
            <w:vAlign w:val="center"/>
          </w:tcPr>
          <w:p>
            <w:r>
              <w:rPr>
                <w:sz w:val="19"/>
                <w:szCs w:val="19"/>
              </w:rPr>
              <w:t xml:space="preserve">T1</w:t>
            </w:r>
          </w:p>
        </w:tc>
      </w:tr>
      <w:tr>
        <w:tc>
          <w:tcPr>
            <w:tcW w:type="dxa" w:w="3600"/>
            <w:shd w:fill="F2F2F2" w:val="clear"/>
            <w:tcMar>
              <w:top w:type="dxa" w:w="70"/>
              <w:left w:type="dxa" w:w="120"/>
              <w:bottom w:type="dxa" w:w="70"/>
              <w:right w:type="dxa" w:w="120"/>
            </w:tcMar>
            <w:vAlign w:val="center"/>
          </w:tcPr>
          <w:p>
            <w:r>
              <w:rPr>
                <w:sz w:val="19"/>
                <w:szCs w:val="19"/>
              </w:rPr>
              <w:t xml:space="preserve">1인당 GRNI(시도)</w:t>
            </w:r>
          </w:p>
        </w:tc>
        <w:tc>
          <w:tcPr>
            <w:tcW w:type="dxa" w:w="1600"/>
            <w:shd w:fill="F2F2F2" w:val="clear"/>
            <w:tcMar>
              <w:top w:type="dxa" w:w="70"/>
              <w:left w:type="dxa" w:w="120"/>
              <w:bottom w:type="dxa" w:w="70"/>
              <w:right w:type="dxa" w:w="120"/>
            </w:tcMar>
            <w:vAlign w:val="center"/>
          </w:tcPr>
          <w:p>
            <w:r>
              <w:rPr>
                <w:sz w:val="19"/>
                <w:szCs w:val="19"/>
              </w:rPr>
              <w:t xml:space="preserve">101</w:t>
            </w:r>
          </w:p>
        </w:tc>
        <w:tc>
          <w:tcPr>
            <w:tcW w:type="dxa" w:w="2800"/>
            <w:shd w:fill="F2F2F2" w:val="clear"/>
            <w:tcMar>
              <w:top w:type="dxa" w:w="70"/>
              <w:left w:type="dxa" w:w="120"/>
              <w:bottom w:type="dxa" w:w="70"/>
              <w:right w:type="dxa" w:w="120"/>
            </w:tcMar>
            <w:vAlign w:val="center"/>
          </w:tcPr>
          <w:p>
            <w:r>
              <w:rPr>
                <w:sz w:val="19"/>
                <w:szCs w:val="19"/>
              </w:rPr>
              <w:t xml:space="preserve">INH_1C96_03</w:t>
            </w:r>
          </w:p>
        </w:tc>
        <w:tc>
          <w:tcPr>
            <w:tcW w:type="dxa" w:w="1638"/>
            <w:shd w:fill="F2F2F2" w:val="clear"/>
            <w:tcMar>
              <w:top w:type="dxa" w:w="70"/>
              <w:left w:type="dxa" w:w="120"/>
              <w:bottom w:type="dxa" w:w="70"/>
              <w:right w:type="dxa" w:w="120"/>
            </w:tcMar>
            <w:vAlign w:val="center"/>
          </w:tcPr>
          <w:p>
            <w:r>
              <w:rPr>
                <w:sz w:val="19"/>
                <w:szCs w:val="19"/>
              </w:rPr>
              <w:t xml:space="preserve">T2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E1E1E" w:val="clear"/>
            <w:tcMar>
              <w:top w:type="dxa" w:w="140"/>
              <w:left w:type="dxa" w:w="180"/>
              <w:bottom w:type="dxa" w:w="140"/>
              <w:right w:type="dxa" w:w="180"/>
            </w:tcMar>
          </w:tcPr>
          <w:p>
            <w:pPr>
              <w:spacing w:after="0"/>
            </w:pPr>
            <w:r>
              <w:rPr>
                <w:rFonts w:ascii="Consolas" w:cs="Consolas" w:eastAsia="Consolas" w:hAnsi="Consolas"/>
                <w:color w:val="D4D4D4"/>
                <w:sz w:val="17"/>
                <w:szCs w:val="17"/>
              </w:rPr>
              <w:t xml:space="preserve"># KOSIS 통계 데이터 조회 — 공통 호출 예시</w:t>
            </w:r>
          </w:p>
          <w:p>
            <w:pPr>
              <w:spacing w:after="0"/>
            </w:pPr>
            <w:r>
              <w:rPr>
                <w:rFonts w:ascii="Consolas" w:cs="Consolas" w:eastAsia="Consolas" w:hAnsi="Consolas"/>
                <w:color w:val="D4D4D4"/>
                <w:sz w:val="17"/>
                <w:szCs w:val="17"/>
              </w:rPr>
              <w:t xml:space="preserve">import requests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url = "https://kosis.kr/openapi/Param/statisticsParameterData.do"</w:t>
            </w:r>
          </w:p>
          <w:p>
            <w:pPr>
              <w:spacing w:after="0"/>
            </w:pPr>
            <w:r>
              <w:rPr>
                <w:rFonts w:ascii="Consolas" w:cs="Consolas" w:eastAsia="Consolas" w:hAnsi="Consolas"/>
                <w:color w:val="D4D4D4"/>
                <w:sz w:val="17"/>
                <w:szCs w:val="17"/>
              </w:rPr>
              <w:t xml:space="preserve">params = {</w:t>
            </w:r>
          </w:p>
          <w:p>
            <w:pPr>
              <w:spacing w:after="0"/>
            </w:pPr>
            <w:r>
              <w:rPr>
                <w:rFonts w:ascii="Consolas" w:cs="Consolas" w:eastAsia="Consolas" w:hAnsi="Consolas"/>
                <w:color w:val="D4D4D4"/>
                <w:sz w:val="17"/>
                <w:szCs w:val="17"/>
              </w:rPr>
              <w:t xml:space="preserve">    "method": "getList",</w:t>
            </w:r>
          </w:p>
          <w:p>
            <w:pPr>
              <w:spacing w:after="0"/>
            </w:pPr>
            <w:r>
              <w:rPr>
                <w:rFonts w:ascii="Consolas" w:cs="Consolas" w:eastAsia="Consolas" w:hAnsi="Consolas"/>
                <w:color w:val="D4D4D4"/>
                <w:sz w:val="17"/>
                <w:szCs w:val="17"/>
              </w:rPr>
              <w:t xml:space="preserve">    "apiKey": KOSIS_KEY,</w:t>
            </w:r>
          </w:p>
          <w:p>
            <w:pPr>
              <w:spacing w:after="0"/>
            </w:pPr>
            <w:r>
              <w:rPr>
                <w:rFonts w:ascii="Consolas" w:cs="Consolas" w:eastAsia="Consolas" w:hAnsi="Consolas"/>
                <w:color w:val="D4D4D4"/>
                <w:sz w:val="17"/>
                <w:szCs w:val="17"/>
              </w:rPr>
              <w:t xml:space="preserve">    "orgId": "101",</w:t>
            </w:r>
          </w:p>
          <w:p>
            <w:pPr>
              <w:spacing w:after="0"/>
            </w:pPr>
            <w:r>
              <w:rPr>
                <w:rFonts w:ascii="Consolas" w:cs="Consolas" w:eastAsia="Consolas" w:hAnsi="Consolas"/>
                <w:color w:val="D4D4D4"/>
                <w:sz w:val="17"/>
                <w:szCs w:val="17"/>
              </w:rPr>
              <w:t xml:space="preserve">    "tblId": "&lt;표마다 다름&gt;",</w:t>
            </w:r>
          </w:p>
          <w:p>
            <w:pPr>
              <w:spacing w:after="0"/>
            </w:pPr>
            <w:r>
              <w:rPr>
                <w:rFonts w:ascii="Consolas" w:cs="Consolas" w:eastAsia="Consolas" w:hAnsi="Consolas"/>
                <w:color w:val="D4D4D4"/>
                <w:sz w:val="17"/>
                <w:szCs w:val="17"/>
              </w:rPr>
              <w:t xml:space="preserve">    "objL1": "00+11+12+...",   # 지역 코드(표마다 체계가 다를 수 있음)</w:t>
            </w:r>
          </w:p>
          <w:p>
            <w:pPr>
              <w:spacing w:after="0"/>
            </w:pPr>
            <w:r>
              <w:rPr>
                <w:rFonts w:ascii="Consolas" w:cs="Consolas" w:eastAsia="Consolas" w:hAnsi="Consolas"/>
                <w:color w:val="D4D4D4"/>
                <w:sz w:val="17"/>
                <w:szCs w:val="17"/>
              </w:rPr>
              <w:t xml:space="preserve">    "itmId": "ALL",</w:t>
            </w:r>
          </w:p>
          <w:p>
            <w:pPr>
              <w:spacing w:after="0"/>
            </w:pPr>
            <w:r>
              <w:rPr>
                <w:rFonts w:ascii="Consolas" w:cs="Consolas" w:eastAsia="Consolas" w:hAnsi="Consolas"/>
                <w:color w:val="D4D4D4"/>
                <w:sz w:val="17"/>
                <w:szCs w:val="17"/>
              </w:rPr>
              <w:t xml:space="preserve">    "prdSe": "M",</w:t>
            </w:r>
          </w:p>
          <w:p>
            <w:pPr>
              <w:spacing w:after="0"/>
            </w:pPr>
            <w:r>
              <w:rPr>
                <w:rFonts w:ascii="Consolas" w:cs="Consolas" w:eastAsia="Consolas" w:hAnsi="Consolas"/>
                <w:color w:val="D4D4D4"/>
                <w:sz w:val="17"/>
                <w:szCs w:val="17"/>
              </w:rPr>
              <w:t xml:space="preserve">    "startPrdDe": "202608",</w:t>
            </w:r>
          </w:p>
          <w:p>
            <w:pPr>
              <w:spacing w:after="0"/>
            </w:pPr>
            <w:r>
              <w:rPr>
                <w:rFonts w:ascii="Consolas" w:cs="Consolas" w:eastAsia="Consolas" w:hAnsi="Consolas"/>
                <w:color w:val="D4D4D4"/>
                <w:sz w:val="17"/>
                <w:szCs w:val="17"/>
              </w:rPr>
              <w:t xml:space="preserve">    "endPrdDe": "202608",</w:t>
            </w:r>
          </w:p>
          <w:p>
            <w:pPr>
              <w:spacing w:after="0"/>
            </w:pPr>
            <w:r>
              <w:rPr>
                <w:rFonts w:ascii="Consolas" w:cs="Consolas" w:eastAsia="Consolas" w:hAnsi="Consolas"/>
                <w:color w:val="D4D4D4"/>
                <w:sz w:val="17"/>
                <w:szCs w:val="17"/>
              </w:rPr>
              <w:t xml:space="preserve">    "format": "json",</w:t>
            </w:r>
          </w:p>
          <w:p>
            <w:pPr>
              <w:spacing w:after="0"/>
            </w:pPr>
            <w:r>
              <w:rPr>
                <w:rFonts w:ascii="Consolas" w:cs="Consolas" w:eastAsia="Consolas" w:hAnsi="Consolas"/>
                <w:color w:val="D4D4D4"/>
                <w:sz w:val="17"/>
                <w:szCs w:val="17"/>
              </w:rPr>
              <w:t xml:space="preserve">    "jsonVD": "Y",</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res = requests.get(url, params=params, timeout=20)</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2966d6736a0e6375b7885c54457d6c5e448af2.png"/><Relationship Id="rId8" Type="http://schemas.openxmlformats.org/officeDocument/2006/relationships/image" Target="media/8eaa7e74e6778af9609c87a22d6eaab6a3d0cda2.png"/><Relationship Id="rId9" Type="http://schemas.openxmlformats.org/officeDocument/2006/relationships/image" Target="media/c6af32c55e09f83f5b72296403926c97560f84cd.png"/><Relationship Id="rId10" Type="http://schemas.openxmlformats.org/officeDocument/2006/relationships/image" Target="media/623cd93352bc01294e455a8031ed97217a471a67.png"/><Relationship Id="rId11" Type="http://schemas.openxmlformats.org/officeDocument/2006/relationships/image" Target="media/8c699ba6d948b7095cacfb77fa850301ac1f6c16.png"/><Relationship Id="rId12" Type="http://schemas.openxmlformats.org/officeDocument/2006/relationships/image" Target="media/be673c77f59d4e6e647204cde5e0df394bc12c14.png"/><Relationship Id="rId13" Type="http://schemas.openxmlformats.org/officeDocument/2006/relationships/image" Target="media/687446b006dbd41a8fa0bcff54acfd550c9227e1.png"/><Relationship Id="rId14" Type="http://schemas.openxmlformats.org/officeDocument/2006/relationships/image" Target="media/43ede346a1f812768783d42d114b9b574f3c559e.png"/><Relationship Id="rId15" Type="http://schemas.openxmlformats.org/officeDocument/2006/relationships/image" Target="media/40fd7db99251b0e8c852d0b6f2d58850ea24f15f.png"/><Relationship Id="rId16" Type="http://schemas.openxmlformats.org/officeDocument/2006/relationships/image" Target="media/1350b4bc6d1a69d4176dc76a1221692e6460c34b.png"/><Relationship Id="rId17" Type="http://schemas.openxmlformats.org/officeDocument/2006/relationships/image" Target="media/339991baea49efcd8e124686209053505bebc65a.png"/><Relationship Id="rId18" Type="http://schemas.openxmlformats.org/officeDocument/2006/relationships/image" Target="media/c2cd092ba17d827d7722696107eb1262c765ca3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2026-10-13T08:19:36.615Z</dcterms:created>
  <dcterms:modified xsi:type="dcterms:W3CDTF">2026-10-13T08:19:36.616Z</dcterms:modified>
</cp:coreProperties>
</file>

<file path=docProps/custom.xml><?xml version="1.0" encoding="utf-8"?>
<Properties xmlns="http://schemas.openxmlformats.org/officeDocument/2006/custom-properties" xmlns:vt="http://schemas.openxmlformats.org/officeDocument/2006/docPropsVTypes"/>
</file>