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66666"/>
          <w:sz w:val="20"/>
          <w:szCs w:val="20"/>
        </w:rPr>
        <w:t xml:space="preserve">[MBC 미디어캠퍼스] AI 기반 데이터 저널리스트 양성 과정</w:t>
      </w:r>
    </w:p>
    <w:p>
      <w:pPr>
        <w:spacing w:after="200"/>
      </w:pPr>
      <w:r>
        <w:rPr>
          <w:b/>
          <w:bCs/>
          <w:color w:val="1F3864"/>
          <w:sz w:val="40"/>
          <w:szCs w:val="40"/>
        </w:rPr>
        <w:t xml:space="preserve">데이터 시각화 실습 가이드</w:t>
      </w:r>
    </w:p>
    <w:p>
      <w:pPr>
        <w:spacing w:after="100"/>
      </w:pPr>
      <w:r>
        <w:rPr>
          <w:b/>
          <w:bCs/>
          <w:color w:val="444444"/>
          <w:sz w:val="26"/>
          <w:szCs w:val="26"/>
        </w:rPr>
        <w:t xml:space="preserve">Flourish로 만드는 인터랙티브 지도 시각화</w:t>
      </w:r>
    </w:p>
    <w:p>
      <w:pPr>
        <w:pBdr>
          <w:left w:val="single" w:color="C0510A" w:sz="18" w:space="6"/>
        </w:pBdr>
        <w:shd w:fill="FFF3E0" w:val="clear"/>
        <w:spacing w:after="160"/>
        <w:ind w:left="120"/>
      </w:pPr>
      <w:r>
        <w:rPr>
          <w:i/>
          <w:iCs/>
          <w:color w:val="5C3A00"/>
          <w:sz w:val="20"/>
          <w:szCs w:val="20"/>
        </w:rPr>
        <w:t xml:space="preserve">이 자료는 국가통계포털(KOSIS) 실습에서 수집한 “시도별 고령인구비율” 데이터를 그대로 가져와, 노코드 시각화 도구 Flourish로 인터랙티브 지도를 만드는 후속 실습입니다. 실제 주차 배치는 추후 별도로 결정합니다.</w:t>
      </w:r>
    </w:p>
    <w:p>
      <w:pPr>
        <w:pStyle w:val="Heading1"/>
        <w:pBdr>
          <w:bottom w:val="single" w:color="1F3864" w:sz="8" w:space="4"/>
        </w:pBdr>
        <w:spacing w:after="160" w:before="360"/>
      </w:pPr>
      <w:r>
        <w:rPr>
          <w:b/>
          <w:bCs/>
          <w:color w:val="1F3864"/>
          <w:sz w:val="30"/>
          <w:szCs w:val="30"/>
        </w:rPr>
        <w:t xml:space="preserve">1. Flourish란 — 언제 쓰면 좋은가</w:t>
      </w:r>
    </w:p>
    <w:p>
      <w:pPr>
        <w:spacing w:after="120"/>
      </w:pPr>
      <w:r>
        <w:rPr>
          <w:sz w:val="21"/>
          <w:szCs w:val="21"/>
        </w:rPr>
        <w:t xml:space="preserve">Flourish(flourish.studio, Canva 소속)는 코드 없이 브라우저에서 데이터를 넣기만 하면 인터랙티브 시각화를 만들 수 있는 도구입니다. 지금까지 실습에서 다룬 matplotlib·folium이 “코드로 그려서 이미지로 저장”하는 방식이었다면, Flourish는 “완성된 결과물 자체가 웹에서 바로 조작 가능한 페이지”가 된다는 점이 다릅니다.</w:t>
      </w:r>
    </w:p>
    <w:p>
      <w:pPr>
        <w:pStyle w:val="Heading2"/>
        <w:spacing w:after="120" w:before="280"/>
      </w:pPr>
      <w:r>
        <w:rPr>
          <w:b/>
          <w:bCs/>
          <w:color w:val="1F3864"/>
          <w:sz w:val="24"/>
          <w:szCs w:val="24"/>
        </w:rPr>
        <w:t xml:space="preserve">실습에 앞서 정리한 사용 시점</w:t>
      </w:r>
    </w:p>
    <w:p>
      <w:pPr>
        <w:pStyle w:val="ListParagraph"/>
        <w:numPr>
          <w:ilvl w:val="0"/>
          <w:numId w:val="2"/>
        </w:numPr>
        <w:spacing w:after="60"/>
      </w:pPr>
      <w:r>
        <w:rPr>
          <w:sz w:val="21"/>
          <w:szCs w:val="21"/>
        </w:rPr>
        <w:t xml:space="preserve">발표·보도용으로 마우스오버(hover)·확대·필터 같은 상호작용이 필요할 때</w:t>
      </w:r>
    </w:p>
    <w:p>
      <w:pPr>
        <w:pStyle w:val="ListParagraph"/>
        <w:numPr>
          <w:ilvl w:val="0"/>
          <w:numId w:val="2"/>
        </w:numPr>
        <w:spacing w:after="60"/>
      </w:pPr>
      <w:r>
        <w:rPr>
          <w:sz w:val="21"/>
          <w:szCs w:val="21"/>
        </w:rPr>
        <w:t xml:space="preserve">완성된 지도·차트를 링크나 embed 코드로 바로 공유하거나 웹페이지·PPT에 삽입해야 할 때</w:t>
      </w:r>
    </w:p>
    <w:p>
      <w:pPr>
        <w:pStyle w:val="ListParagraph"/>
        <w:numPr>
          <w:ilvl w:val="0"/>
          <w:numId w:val="2"/>
        </w:numPr>
        <w:spacing w:after="60"/>
      </w:pPr>
      <w:r>
        <w:rPr>
          <w:sz w:val="21"/>
          <w:szCs w:val="21"/>
        </w:rPr>
        <w:t xml:space="preserve">코드를 짤 시간 없이, 국가·지역 단위 지도처럼 이미 만들어진 템플릿으로 빠르게 결과를 내야 할 때</w:t>
      </w:r>
    </w:p>
    <w:p>
      <w:pPr>
        <w:pStyle w:val="ListParagraph"/>
        <w:numPr>
          <w:ilvl w:val="0"/>
          <w:numId w:val="2"/>
        </w:numPr>
        <w:spacing w:after="60"/>
      </w:pPr>
      <w:r>
        <w:rPr>
          <w:sz w:val="21"/>
          <w:szCs w:val="21"/>
        </w:rPr>
        <w:t xml:space="preserve">반대로, 정교한 통계 처리나 반복 자동화가 필요하면 Python(pandas·matplotlib)이 더 적합하다</w:t>
      </w:r>
    </w:p>
    <w:p>
      <w:pPr>
        <w:pStyle w:val="Heading1"/>
        <w:pBdr>
          <w:bottom w:val="single" w:color="1F3864" w:sz="8" w:space="4"/>
        </w:pBdr>
        <w:spacing w:after="160" w:before="360"/>
      </w:pPr>
      <w:r>
        <w:rPr>
          <w:b/>
          <w:bCs/>
          <w:color w:val="1F3864"/>
          <w:sz w:val="30"/>
          <w:szCs w:val="30"/>
        </w:rPr>
        <w:t xml:space="preserve">2. 실습 개요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shd w:fill="1F3864" w:val="clear"/>
            <w:tcMar>
              <w:top w:type="dxa" w:w="80"/>
              <w:left w:type="dxa" w:w="120"/>
              <w:bottom w:type="dxa" w:w="80"/>
              <w:right w:type="dxa" w:w="120"/>
            </w:tcMar>
            <w:vAlign w:val="center"/>
          </w:tcPr>
          <w:p>
            <w:pPr>
              <w:jc w:val="left"/>
            </w:pPr>
            <w:r>
              <w:rPr>
                <w:b/>
                <w:bCs/>
                <w:color w:val="FFFFFF"/>
                <w:sz w:val="19"/>
                <w:szCs w:val="19"/>
              </w:rPr>
              <w:t xml:space="preserve">항목</w:t>
            </w:r>
          </w:p>
        </w:tc>
        <w:tc>
          <w:tcPr>
            <w:tcW w:type="dxa" w:w="7238"/>
            <w:shd w:fill="1F3864" w:val="clear"/>
            <w:tcMar>
              <w:top w:type="dxa" w:w="80"/>
              <w:left w:type="dxa" w:w="120"/>
              <w:bottom w:type="dxa" w:w="80"/>
              <w:right w:type="dxa" w:w="120"/>
            </w:tcMar>
            <w:vAlign w:val="center"/>
          </w:tcPr>
          <w:p>
            <w:pPr>
              <w:jc w:val="left"/>
            </w:pPr>
            <w:r>
              <w:rPr>
                <w:b/>
                <w:bCs/>
                <w:color w:val="FFFFFF"/>
                <w:sz w:val="19"/>
                <w:szCs w:val="19"/>
              </w:rPr>
              <w:t xml:space="preserve">내용</w:t>
            </w:r>
          </w:p>
        </w:tc>
      </w:tr>
      <w:tr>
        <w:tc>
          <w:tcPr>
            <w:tcW w:type="dxa" w:w="2400"/>
            <w:shd w:fill="FFFFFF" w:val="clear"/>
            <w:tcMar>
              <w:top w:type="dxa" w:w="70"/>
              <w:left w:type="dxa" w:w="120"/>
              <w:bottom w:type="dxa" w:w="70"/>
              <w:right w:type="dxa" w:w="120"/>
            </w:tcMar>
            <w:vAlign w:val="center"/>
          </w:tcPr>
          <w:p>
            <w:r>
              <w:rPr>
                <w:sz w:val="19"/>
                <w:szCs w:val="19"/>
              </w:rPr>
              <w:t xml:space="preserve">실습 목표</w:t>
            </w:r>
          </w:p>
        </w:tc>
        <w:tc>
          <w:tcPr>
            <w:tcW w:type="dxa" w:w="7238"/>
            <w:shd w:fill="FFFFFF" w:val="clear"/>
            <w:tcMar>
              <w:top w:type="dxa" w:w="70"/>
              <w:left w:type="dxa" w:w="120"/>
              <w:bottom w:type="dxa" w:w="70"/>
              <w:right w:type="dxa" w:w="120"/>
            </w:tcMar>
            <w:vAlign w:val="center"/>
          </w:tcPr>
          <w:p>
            <w:r>
              <w:rPr>
                <w:sz w:val="19"/>
                <w:szCs w:val="19"/>
              </w:rPr>
              <w:t xml:space="preserve">Flourish로 시도별 고령인구비율 인터랙티브 코로플레스 지도 제작 및 게시</w:t>
            </w:r>
          </w:p>
        </w:tc>
      </w:tr>
      <w:tr>
        <w:tc>
          <w:tcPr>
            <w:tcW w:type="dxa" w:w="2400"/>
            <w:shd w:fill="F2F2F2" w:val="clear"/>
            <w:tcMar>
              <w:top w:type="dxa" w:w="70"/>
              <w:left w:type="dxa" w:w="120"/>
              <w:bottom w:type="dxa" w:w="70"/>
              <w:right w:type="dxa" w:w="120"/>
            </w:tcMar>
            <w:vAlign w:val="center"/>
          </w:tcPr>
          <w:p>
            <w:r>
              <w:rPr>
                <w:sz w:val="19"/>
                <w:szCs w:val="19"/>
              </w:rPr>
              <w:t xml:space="preserve">사용 데이터</w:t>
            </w:r>
          </w:p>
        </w:tc>
        <w:tc>
          <w:tcPr>
            <w:tcW w:type="dxa" w:w="7238"/>
            <w:shd w:fill="F2F2F2" w:val="clear"/>
            <w:tcMar>
              <w:top w:type="dxa" w:w="70"/>
              <w:left w:type="dxa" w:w="120"/>
              <w:bottom w:type="dxa" w:w="70"/>
              <w:right w:type="dxa" w:w="120"/>
            </w:tcMar>
            <w:vAlign w:val="center"/>
          </w:tcPr>
          <w:p>
            <w:r>
              <w:rPr>
                <w:sz w:val="19"/>
                <w:szCs w:val="19"/>
              </w:rPr>
              <w:t xml:space="preserve">KOSIS 실습에서 수집한 kosis_지역별_고령인구비율_202608.csv (17개 시도, 전체·남·여 비율)</w:t>
            </w:r>
          </w:p>
        </w:tc>
      </w:tr>
      <w:tr>
        <w:tc>
          <w:tcPr>
            <w:tcW w:type="dxa" w:w="2400"/>
            <w:shd w:fill="FFFFFF" w:val="clear"/>
            <w:tcMar>
              <w:top w:type="dxa" w:w="70"/>
              <w:left w:type="dxa" w:w="120"/>
              <w:bottom w:type="dxa" w:w="70"/>
              <w:right w:type="dxa" w:w="120"/>
            </w:tcMar>
            <w:vAlign w:val="center"/>
          </w:tcPr>
          <w:p>
            <w:r>
              <w:rPr>
                <w:sz w:val="19"/>
                <w:szCs w:val="19"/>
              </w:rPr>
              <w:t xml:space="preserve">사용 템플릿</w:t>
            </w:r>
          </w:p>
        </w:tc>
        <w:tc>
          <w:tcPr>
            <w:tcW w:type="dxa" w:w="7238"/>
            <w:shd w:fill="FFFFFF" w:val="clear"/>
            <w:tcMar>
              <w:top w:type="dxa" w:w="70"/>
              <w:left w:type="dxa" w:w="120"/>
              <w:bottom w:type="dxa" w:w="70"/>
              <w:right w:type="dxa" w:w="120"/>
            </w:tcMar>
            <w:vAlign w:val="center"/>
          </w:tcPr>
          <w:p>
            <w:r>
              <w:rPr>
                <w:sz w:val="19"/>
                <w:szCs w:val="19"/>
              </w:rPr>
              <w:t xml:space="preserve">Flourish 기본 제공 “Projection map” — 대한민국 시도 경계가 이미 내장되어 있음</w:t>
            </w:r>
          </w:p>
        </w:tc>
      </w:tr>
      <w:tr>
        <w:tc>
          <w:tcPr>
            <w:tcW w:type="dxa" w:w="2400"/>
            <w:shd w:fill="F2F2F2" w:val="clear"/>
            <w:tcMar>
              <w:top w:type="dxa" w:w="70"/>
              <w:left w:type="dxa" w:w="120"/>
              <w:bottom w:type="dxa" w:w="70"/>
              <w:right w:type="dxa" w:w="120"/>
            </w:tcMar>
            <w:vAlign w:val="center"/>
          </w:tcPr>
          <w:p>
            <w:r>
              <w:rPr>
                <w:sz w:val="19"/>
                <w:szCs w:val="19"/>
              </w:rPr>
              <w:t xml:space="preserve">도구</w:t>
            </w:r>
          </w:p>
        </w:tc>
        <w:tc>
          <w:tcPr>
            <w:tcW w:type="dxa" w:w="7238"/>
            <w:shd w:fill="F2F2F2" w:val="clear"/>
            <w:tcMar>
              <w:top w:type="dxa" w:w="70"/>
              <w:left w:type="dxa" w:w="120"/>
              <w:bottom w:type="dxa" w:w="70"/>
              <w:right w:type="dxa" w:w="120"/>
            </w:tcMar>
            <w:vAlign w:val="center"/>
          </w:tcPr>
          <w:p>
            <w:r>
              <w:rPr>
                <w:sz w:val="19"/>
                <w:szCs w:val="19"/>
              </w:rPr>
              <w:t xml:space="preserve">Flourish(웹 브라우저, 무료 플랜)</w:t>
            </w:r>
          </w:p>
        </w:tc>
      </w:tr>
    </w:tbl>
    <w:p>
      <w:pPr>
        <w:pBdr>
          <w:left w:val="single" w:color="C0510A" w:sz="18" w:space="6"/>
        </w:pBdr>
        <w:shd w:fill="FFF3E0" w:val="clear"/>
        <w:spacing w:after="160"/>
        <w:ind w:left="120"/>
      </w:pPr>
      <w:r>
        <w:rPr>
          <w:i/>
          <w:iCs/>
          <w:color w:val="5C3A00"/>
          <w:sz w:val="20"/>
          <w:szCs w:val="20"/>
        </w:rPr>
        <w:t xml:space="preserve">핵심 포인트: 처음에는 GeoJSON 경계 파일을 직접 구해서 업로드해야 하는 줄 알았지만, Flourish 지도 템플릿 갤러리에 대한민국 시도 단위 지도가 이미 준비되어 있어 그 과정이 필요 없었습니다. 새 도구를 쓸 때는 처음부터 직접 만들 방법을 찾기보다, 이미 준비된 템플릿이 있는지부터 확인하는 습관이 효율적입니다.</w:t>
      </w:r>
    </w:p>
    <w:p>
      <w:pPr>
        <w:pStyle w:val="Heading1"/>
        <w:pBdr>
          <w:bottom w:val="single" w:color="1F3864" w:sz="8" w:space="4"/>
        </w:pBdr>
        <w:spacing w:after="160" w:before="360"/>
      </w:pPr>
      <w:r>
        <w:rPr>
          <w:b/>
          <w:bCs/>
          <w:color w:val="1F3864"/>
          <w:sz w:val="30"/>
          <w:szCs w:val="30"/>
        </w:rPr>
        <w:t xml:space="preserve">3. 실습① — 지도 템플릿 찾기</w:t>
      </w:r>
    </w:p>
    <w:p>
      <w:pPr>
        <w:spacing w:after="120"/>
      </w:pPr>
      <w:r>
        <w:rPr>
          <w:sz w:val="21"/>
          <w:szCs w:val="21"/>
        </w:rPr>
        <w:t xml:space="preserve">Flourish에서 새 프로젝트를 시작하면 “Choose a template” 화면이 뜹니다. 기본으로는 막대·선·파이 차트 계열이 먼저 보이므로, 왼쪽 Type 필터에서 “Maps”를 선택해 지도 템플릿만 걸러냅니다.</w:t>
      </w:r>
    </w:p>
    <w:p>
      <w:pPr>
        <w:spacing w:after="60" w:before="120"/>
        <w:jc w:val="center"/>
      </w:pPr>
      <w:r>
        <w:drawing>
          <wp:inline distT="0" distB="0" distL="0" distR="0">
            <wp:extent cx="4572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990725"/>
                    </a:xfrm>
                    <a:prstGeom prst="rect">
                      <a:avLst/>
                    </a:prstGeom>
                  </pic:spPr>
                </pic:pic>
              </a:graphicData>
            </a:graphic>
          </wp:inline>
        </w:drawing>
      </w:r>
    </w:p>
    <w:p>
      <w:pPr>
        <w:spacing w:after="200"/>
        <w:jc w:val="center"/>
      </w:pPr>
      <w:r>
        <w:rPr>
          <w:i/>
          <w:iCs/>
          <w:color w:val="666666"/>
          <w:sz w:val="18"/>
          <w:szCs w:val="18"/>
        </w:rPr>
        <w:t xml:space="preserve">그림 1. Flourish 템플릿 갤러리 — 기본 화면(차트 계열)</w:t>
      </w:r>
    </w:p>
    <w:p>
      <w:pPr>
        <w:spacing w:after="120"/>
      </w:pPr>
      <w:r>
        <w:rPr>
          <w:sz w:val="21"/>
          <w:szCs w:val="21"/>
        </w:rPr>
        <w:t xml:space="preserve">Maps 필터를 선택하면 국가·지역별 기본 지도 목록이 나타납니다. 검색창에 “Korea”를 입력하면 대한민국 시도 경계가 이미 포함된 “Projection map” 템플릿을 바로 찾을 수 있습니다.</w:t>
      </w:r>
    </w:p>
    <w:p>
      <w:pPr>
        <w:spacing w:after="60" w:before="120"/>
        <w:jc w:val="center"/>
      </w:pPr>
      <w:r>
        <w:drawing>
          <wp:inline distT="0" distB="0" distL="0" distR="0">
            <wp:extent cx="4572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143125"/>
                    </a:xfrm>
                    <a:prstGeom prst="rect">
                      <a:avLst/>
                    </a:prstGeom>
                  </pic:spPr>
                </pic:pic>
              </a:graphicData>
            </a:graphic>
          </wp:inline>
        </w:drawing>
      </w:r>
    </w:p>
    <w:p>
      <w:pPr>
        <w:spacing w:after="200"/>
        <w:jc w:val="center"/>
      </w:pPr>
      <w:r>
        <w:rPr>
          <w:i/>
          <w:iCs/>
          <w:color w:val="666666"/>
          <w:sz w:val="18"/>
          <w:szCs w:val="18"/>
        </w:rPr>
        <w:t xml:space="preserve">그림 2. Maps 필터 적용 화면 — 국가·지역별 지도 템플릿 목록</w:t>
      </w:r>
    </w:p>
    <w:p>
      <w:pPr>
        <w:spacing w:after="120"/>
      </w:pPr>
      <w:r>
        <w:rPr>
          <w:sz w:val="21"/>
          <w:szCs w:val="21"/>
        </w:rPr>
        <w:t xml:space="preserve">템플릿을 선택해 열면, 대한민국 17개 시도 경계와 샘플 데이터(1~9 사이 임의 값, 인구 규모를 나타내는 점 레이어)가 이미 채워진 상태로 미리보기가 표시됩니다. 이 샘플 값을 실제 데이터로 교체하는 것이 다음 단계입니다.</w:t>
      </w:r>
    </w:p>
    <w:p>
      <w:pPr>
        <w:spacing w:after="60" w:before="120"/>
        <w:jc w:val="center"/>
      </w:pPr>
      <w:r>
        <w:drawing>
          <wp:inline distT="0" distB="0" distL="0" distR="0">
            <wp:extent cx="4572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333625"/>
                    </a:xfrm>
                    <a:prstGeom prst="rect">
                      <a:avLst/>
                    </a:prstGeom>
                  </pic:spPr>
                </pic:pic>
              </a:graphicData>
            </a:graphic>
          </wp:inline>
        </w:drawing>
      </w:r>
    </w:p>
    <w:p>
      <w:pPr>
        <w:spacing w:after="200"/>
        <w:jc w:val="center"/>
      </w:pPr>
      <w:r>
        <w:rPr>
          <w:i/>
          <w:iCs/>
          <w:color w:val="666666"/>
          <w:sz w:val="18"/>
          <w:szCs w:val="18"/>
        </w:rPr>
        <w:t xml:space="preserve">그림 3. “Projection map” 템플릿 — 대한민국 시도 경계가 이미 내장된 초기 화면</w:t>
      </w:r>
    </w:p>
    <w:p>
      <w:pPr>
        <w:pStyle w:val="Heading1"/>
        <w:pBdr>
          <w:bottom w:val="single" w:color="1F3864" w:sz="8" w:space="4"/>
        </w:pBdr>
        <w:spacing w:after="160" w:before="360"/>
      </w:pPr>
      <w:r>
        <w:rPr>
          <w:b/>
          <w:bCs/>
          <w:color w:val="1F3864"/>
          <w:sz w:val="30"/>
          <w:szCs w:val="30"/>
        </w:rPr>
        <w:t xml:space="preserve">4. 실습② — 데이터 입력</w:t>
      </w:r>
    </w:p>
    <w:p>
      <w:pPr>
        <w:spacing w:after="120"/>
      </w:pPr>
      <w:r>
        <w:rPr>
          <w:sz w:val="21"/>
          <w:szCs w:val="21"/>
        </w:rPr>
        <w:t xml:space="preserve">상단 “Data” 탭 → “Regions” 시트로 이동하면, 템플릿의 기본 데이터 구조를 확인할 수 있습니다. name(한글 지역명) · name_eng(영문 지역명) · val(지도에 표시할 값) 세 컬럼으로 구성되어 있고, 오른쪽 패널에서 ID·Name·Color by 등이 이미 각 컬럼에 연결되어 있습니다.</w:t>
      </w:r>
    </w:p>
    <w:p>
      <w:pPr>
        <w:spacing w:after="60" w:before="120"/>
        <w:jc w:val="center"/>
      </w:pPr>
      <w:r>
        <w:drawing>
          <wp:inline distT="0" distB="0" distL="0" distR="0">
            <wp:extent cx="4572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181225"/>
                    </a:xfrm>
                    <a:prstGeom prst="rect">
                      <a:avLst/>
                    </a:prstGeom>
                  </pic:spPr>
                </pic:pic>
              </a:graphicData>
            </a:graphic>
          </wp:inline>
        </w:drawing>
      </w:r>
    </w:p>
    <w:p>
      <w:pPr>
        <w:spacing w:after="200"/>
        <w:jc w:val="center"/>
      </w:pPr>
      <w:r>
        <w:rPr>
          <w:i/>
          <w:iCs/>
          <w:color w:val="666666"/>
          <w:sz w:val="18"/>
          <w:szCs w:val="18"/>
        </w:rPr>
        <w:t xml:space="preserve">그림 4. Regions 데이터 시트 — 템플릿 기본 샘플 값(교체 전)</w:t>
      </w:r>
    </w:p>
    <w:p>
      <w:pPr>
        <w:pBdr>
          <w:left w:val="single" w:color="C0510A" w:sz="18" w:space="6"/>
        </w:pBdr>
        <w:shd w:fill="FFF3E0" w:val="clear"/>
        <w:spacing w:after="160"/>
        <w:ind w:left="120"/>
      </w:pPr>
      <w:r>
        <w:rPr>
          <w:i/>
          <w:iCs/>
          <w:color w:val="5C3A00"/>
          <w:sz w:val="20"/>
          <w:szCs w:val="20"/>
        </w:rPr>
        <w:t xml:space="preserve">주의: 이 지도의 경계 데이터는 옛 행정구역명을 쓰고 있어 “강원도”·“전라북도”처럼 현재 명칭(강원특별 자치도·전북특별자치도)과 다르고, 2026년 7월 통합된 “전남광주통합특별시”는 아예 존재하지 않습니다 — “광주광역시”와 “전라남도”가 각각 별도 도형으로 남아 있습니다. KOSIS 실습에서 겪었던 것과 동일한 문제입니다.</w:t>
      </w:r>
    </w:p>
    <w:p>
      <w:pPr>
        <w:pStyle w:val="Heading2"/>
        <w:spacing w:after="120" w:before="280"/>
      </w:pPr>
      <w:r>
        <w:rPr>
          <w:b/>
          <w:bCs/>
          <w:color w:val="1F3864"/>
          <w:sz w:val="24"/>
          <w:szCs w:val="24"/>
        </w:rPr>
        <w:t xml:space="preserve">입력한 값 — 전체 고령인구비율(%)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shd w:fill="1F3864" w:val="clear"/>
            <w:tcMar>
              <w:top w:type="dxa" w:w="80"/>
              <w:left w:type="dxa" w:w="120"/>
              <w:bottom w:type="dxa" w:w="80"/>
              <w:right w:type="dxa" w:w="120"/>
            </w:tcMar>
            <w:vAlign w:val="center"/>
          </w:tcPr>
          <w:p>
            <w:pPr>
              <w:jc w:val="left"/>
            </w:pPr>
            <w:r>
              <w:rPr>
                <w:b/>
                <w:bCs/>
                <w:color w:val="FFFFFF"/>
                <w:sz w:val="19"/>
                <w:szCs w:val="19"/>
              </w:rPr>
              <w:t xml:space="preserve">val 컬럼에 입력한 지역명</w:t>
            </w:r>
          </w:p>
        </w:tc>
        <w:tc>
          <w:tcPr>
            <w:tcW w:type="dxa" w:w="5438"/>
            <w:shd w:fill="1F3864" w:val="clear"/>
            <w:tcMar>
              <w:top w:type="dxa" w:w="80"/>
              <w:left w:type="dxa" w:w="120"/>
              <w:bottom w:type="dxa" w:w="80"/>
              <w:right w:type="dxa" w:w="120"/>
            </w:tcMar>
            <w:vAlign w:val="center"/>
          </w:tcPr>
          <w:p>
            <w:pPr>
              <w:jc w:val="left"/>
            </w:pPr>
            <w:r>
              <w:rPr>
                <w:b/>
                <w:bCs/>
                <w:color w:val="FFFFFF"/>
                <w:sz w:val="19"/>
                <w:szCs w:val="19"/>
              </w:rPr>
              <w:t xml:space="preserve">전체_고령인구비율</w:t>
            </w:r>
          </w:p>
        </w:tc>
      </w:tr>
      <w:tr>
        <w:tc>
          <w:tcPr>
            <w:tcW w:type="dxa" w:w="4200"/>
            <w:shd w:fill="FFFFFF" w:val="clear"/>
            <w:tcMar>
              <w:top w:type="dxa" w:w="70"/>
              <w:left w:type="dxa" w:w="120"/>
              <w:bottom w:type="dxa" w:w="70"/>
              <w:right w:type="dxa" w:w="120"/>
            </w:tcMar>
            <w:vAlign w:val="center"/>
          </w:tcPr>
          <w:p>
            <w:r>
              <w:rPr>
                <w:sz w:val="19"/>
                <w:szCs w:val="19"/>
              </w:rPr>
              <w:t xml:space="preserve">경상북도</w:t>
            </w:r>
          </w:p>
        </w:tc>
        <w:tc>
          <w:tcPr>
            <w:tcW w:type="dxa" w:w="5438"/>
            <w:shd w:fill="FFFFFF" w:val="clear"/>
            <w:tcMar>
              <w:top w:type="dxa" w:w="70"/>
              <w:left w:type="dxa" w:w="120"/>
              <w:bottom w:type="dxa" w:w="70"/>
              <w:right w:type="dxa" w:w="120"/>
            </w:tcMar>
            <w:vAlign w:val="center"/>
          </w:tcPr>
          <w:p>
            <w:r>
              <w:rPr>
                <w:sz w:val="19"/>
                <w:szCs w:val="19"/>
              </w:rPr>
              <w:t xml:space="preserve">28.57</w:t>
            </w:r>
          </w:p>
        </w:tc>
      </w:tr>
      <w:tr>
        <w:tc>
          <w:tcPr>
            <w:tcW w:type="dxa" w:w="4200"/>
            <w:shd w:fill="F2F2F2" w:val="clear"/>
            <w:tcMar>
              <w:top w:type="dxa" w:w="70"/>
              <w:left w:type="dxa" w:w="120"/>
              <w:bottom w:type="dxa" w:w="70"/>
              <w:right w:type="dxa" w:w="120"/>
            </w:tcMar>
            <w:vAlign w:val="center"/>
          </w:tcPr>
          <w:p>
            <w:r>
              <w:rPr>
                <w:sz w:val="19"/>
                <w:szCs w:val="19"/>
              </w:rPr>
              <w:t xml:space="preserve">강원도</w:t>
            </w:r>
          </w:p>
        </w:tc>
        <w:tc>
          <w:tcPr>
            <w:tcW w:type="dxa" w:w="5438"/>
            <w:shd w:fill="F2F2F2" w:val="clear"/>
            <w:tcMar>
              <w:top w:type="dxa" w:w="70"/>
              <w:left w:type="dxa" w:w="120"/>
              <w:bottom w:type="dxa" w:w="70"/>
              <w:right w:type="dxa" w:w="120"/>
            </w:tcMar>
            <w:vAlign w:val="center"/>
          </w:tcPr>
          <w:p>
            <w:r>
              <w:rPr>
                <w:sz w:val="19"/>
                <w:szCs w:val="19"/>
              </w:rPr>
              <w:t xml:space="preserve">27.90</w:t>
            </w:r>
          </w:p>
        </w:tc>
      </w:tr>
      <w:tr>
        <w:tc>
          <w:tcPr>
            <w:tcW w:type="dxa" w:w="4200"/>
            <w:shd w:fill="FFFFFF" w:val="clear"/>
            <w:tcMar>
              <w:top w:type="dxa" w:w="70"/>
              <w:left w:type="dxa" w:w="120"/>
              <w:bottom w:type="dxa" w:w="70"/>
              <w:right w:type="dxa" w:w="120"/>
            </w:tcMar>
            <w:vAlign w:val="center"/>
          </w:tcPr>
          <w:p>
            <w:r>
              <w:rPr>
                <w:sz w:val="19"/>
                <w:szCs w:val="19"/>
              </w:rPr>
              <w:t xml:space="preserve">전라북도</w:t>
            </w:r>
          </w:p>
        </w:tc>
        <w:tc>
          <w:tcPr>
            <w:tcW w:type="dxa" w:w="5438"/>
            <w:shd w:fill="FFFFFF" w:val="clear"/>
            <w:tcMar>
              <w:top w:type="dxa" w:w="70"/>
              <w:left w:type="dxa" w:w="120"/>
              <w:bottom w:type="dxa" w:w="70"/>
              <w:right w:type="dxa" w:w="120"/>
            </w:tcMar>
            <w:vAlign w:val="center"/>
          </w:tcPr>
          <w:p>
            <w:r>
              <w:rPr>
                <w:sz w:val="19"/>
                <w:szCs w:val="19"/>
              </w:rPr>
              <w:t xml:space="preserve">27.55</w:t>
            </w:r>
          </w:p>
        </w:tc>
      </w:tr>
      <w:tr>
        <w:tc>
          <w:tcPr>
            <w:tcW w:type="dxa" w:w="4200"/>
            <w:shd w:fill="F2F2F2" w:val="clear"/>
            <w:tcMar>
              <w:top w:type="dxa" w:w="70"/>
              <w:left w:type="dxa" w:w="120"/>
              <w:bottom w:type="dxa" w:w="70"/>
              <w:right w:type="dxa" w:w="120"/>
            </w:tcMar>
            <w:vAlign w:val="center"/>
          </w:tcPr>
          <w:p>
            <w:r>
              <w:rPr>
                <w:sz w:val="19"/>
                <w:szCs w:val="19"/>
              </w:rPr>
              <w:t xml:space="preserve">부산광역시</w:t>
            </w:r>
          </w:p>
        </w:tc>
        <w:tc>
          <w:tcPr>
            <w:tcW w:type="dxa" w:w="5438"/>
            <w:shd w:fill="F2F2F2" w:val="clear"/>
            <w:tcMar>
              <w:top w:type="dxa" w:w="70"/>
              <w:left w:type="dxa" w:w="120"/>
              <w:bottom w:type="dxa" w:w="70"/>
              <w:right w:type="dxa" w:w="120"/>
            </w:tcMar>
            <w:vAlign w:val="center"/>
          </w:tcPr>
          <w:p>
            <w:r>
              <w:rPr>
                <w:sz w:val="19"/>
                <w:szCs w:val="19"/>
              </w:rPr>
              <w:t xml:space="preserve">26.19</w:t>
            </w:r>
          </w:p>
        </w:tc>
      </w:tr>
      <w:tr>
        <w:tc>
          <w:tcPr>
            <w:tcW w:type="dxa" w:w="4200"/>
            <w:shd w:fill="FFFFFF" w:val="clear"/>
            <w:tcMar>
              <w:top w:type="dxa" w:w="70"/>
              <w:left w:type="dxa" w:w="120"/>
              <w:bottom w:type="dxa" w:w="70"/>
              <w:right w:type="dxa" w:w="120"/>
            </w:tcMar>
            <w:vAlign w:val="center"/>
          </w:tcPr>
          <w:p>
            <w:r>
              <w:rPr>
                <w:sz w:val="19"/>
                <w:szCs w:val="19"/>
              </w:rPr>
              <w:t xml:space="preserve">광주광역시</w:t>
            </w:r>
          </w:p>
        </w:tc>
        <w:tc>
          <w:tcPr>
            <w:tcW w:type="dxa" w:w="5438"/>
            <w:shd w:fill="FFFFFF" w:val="clear"/>
            <w:tcMar>
              <w:top w:type="dxa" w:w="70"/>
              <w:left w:type="dxa" w:w="120"/>
              <w:bottom w:type="dxa" w:w="70"/>
              <w:right w:type="dxa" w:w="120"/>
            </w:tcMar>
            <w:vAlign w:val="center"/>
          </w:tcPr>
          <w:p>
            <w:r>
              <w:rPr>
                <w:sz w:val="19"/>
                <w:szCs w:val="19"/>
              </w:rPr>
              <w:t xml:space="preserve">25.04 (전남광주통합특별시 값으로 근사)</w:t>
            </w:r>
          </w:p>
        </w:tc>
      </w:tr>
      <w:tr>
        <w:tc>
          <w:tcPr>
            <w:tcW w:type="dxa" w:w="4200"/>
            <w:shd w:fill="F2F2F2" w:val="clear"/>
            <w:tcMar>
              <w:top w:type="dxa" w:w="70"/>
              <w:left w:type="dxa" w:w="120"/>
              <w:bottom w:type="dxa" w:w="70"/>
              <w:right w:type="dxa" w:w="120"/>
            </w:tcMar>
            <w:vAlign w:val="center"/>
          </w:tcPr>
          <w:p>
            <w:r>
              <w:rPr>
                <w:sz w:val="19"/>
                <w:szCs w:val="19"/>
              </w:rPr>
              <w:t xml:space="preserve">전라남도</w:t>
            </w:r>
          </w:p>
        </w:tc>
        <w:tc>
          <w:tcPr>
            <w:tcW w:type="dxa" w:w="5438"/>
            <w:shd w:fill="F2F2F2" w:val="clear"/>
            <w:tcMar>
              <w:top w:type="dxa" w:w="70"/>
              <w:left w:type="dxa" w:w="120"/>
              <w:bottom w:type="dxa" w:w="70"/>
              <w:right w:type="dxa" w:w="120"/>
            </w:tcMar>
            <w:vAlign w:val="center"/>
          </w:tcPr>
          <w:p>
            <w:r>
              <w:rPr>
                <w:sz w:val="19"/>
                <w:szCs w:val="19"/>
              </w:rPr>
              <w:t xml:space="preserve">25.04 (전남광주통합특별시 값으로 근사)</w:t>
            </w:r>
          </w:p>
        </w:tc>
      </w:tr>
      <w:tr>
        <w:tc>
          <w:tcPr>
            <w:tcW w:type="dxa" w:w="4200"/>
            <w:shd w:fill="FFFFFF" w:val="clear"/>
            <w:tcMar>
              <w:top w:type="dxa" w:w="70"/>
              <w:left w:type="dxa" w:w="120"/>
              <w:bottom w:type="dxa" w:w="70"/>
              <w:right w:type="dxa" w:w="120"/>
            </w:tcMar>
            <w:vAlign w:val="center"/>
          </w:tcPr>
          <w:p>
            <w:r>
              <w:rPr>
                <w:sz w:val="19"/>
                <w:szCs w:val="19"/>
              </w:rPr>
              <w:t xml:space="preserve">서울특별시</w:t>
            </w:r>
          </w:p>
        </w:tc>
        <w:tc>
          <w:tcPr>
            <w:tcW w:type="dxa" w:w="5438"/>
            <w:shd w:fill="FFFFFF" w:val="clear"/>
            <w:tcMar>
              <w:top w:type="dxa" w:w="70"/>
              <w:left w:type="dxa" w:w="120"/>
              <w:bottom w:type="dxa" w:w="70"/>
              <w:right w:type="dxa" w:w="120"/>
            </w:tcMar>
            <w:vAlign w:val="center"/>
          </w:tcPr>
          <w:p>
            <w:r>
              <w:rPr>
                <w:sz w:val="19"/>
                <w:szCs w:val="19"/>
              </w:rPr>
              <w:t xml:space="preserve">21.13</w:t>
            </w:r>
          </w:p>
        </w:tc>
      </w:tr>
      <w:tr>
        <w:tc>
          <w:tcPr>
            <w:tcW w:type="dxa" w:w="4200"/>
            <w:shd w:fill="F2F2F2" w:val="clear"/>
            <w:tcMar>
              <w:top w:type="dxa" w:w="70"/>
              <w:left w:type="dxa" w:w="120"/>
              <w:bottom w:type="dxa" w:w="70"/>
              <w:right w:type="dxa" w:w="120"/>
            </w:tcMar>
            <w:vAlign w:val="center"/>
          </w:tcPr>
          <w:p>
            <w:r>
              <w:rPr>
                <w:sz w:val="19"/>
                <w:szCs w:val="19"/>
              </w:rPr>
              <w:t xml:space="preserve">경기도</w:t>
            </w:r>
          </w:p>
        </w:tc>
        <w:tc>
          <w:tcPr>
            <w:tcW w:type="dxa" w:w="5438"/>
            <w:shd w:fill="F2F2F2" w:val="clear"/>
            <w:tcMar>
              <w:top w:type="dxa" w:w="70"/>
              <w:left w:type="dxa" w:w="120"/>
              <w:bottom w:type="dxa" w:w="70"/>
              <w:right w:type="dxa" w:w="120"/>
            </w:tcMar>
            <w:vAlign w:val="center"/>
          </w:tcPr>
          <w:p>
            <w:r>
              <w:rPr>
                <w:sz w:val="19"/>
                <w:szCs w:val="19"/>
              </w:rPr>
              <w:t xml:space="preserve">18.56</w:t>
            </w:r>
          </w:p>
        </w:tc>
      </w:tr>
      <w:tr>
        <w:tc>
          <w:tcPr>
            <w:tcW w:type="dxa" w:w="4200"/>
            <w:shd w:fill="FFFFFF" w:val="clear"/>
            <w:tcMar>
              <w:top w:type="dxa" w:w="70"/>
              <w:left w:type="dxa" w:w="120"/>
              <w:bottom w:type="dxa" w:w="70"/>
              <w:right w:type="dxa" w:w="120"/>
            </w:tcMar>
            <w:vAlign w:val="center"/>
          </w:tcPr>
          <w:p>
            <w:r>
              <w:rPr>
                <w:sz w:val="19"/>
                <w:szCs w:val="19"/>
              </w:rPr>
              <w:t xml:space="preserve">세종특별시</w:t>
            </w:r>
          </w:p>
        </w:tc>
        <w:tc>
          <w:tcPr>
            <w:tcW w:type="dxa" w:w="5438"/>
            <w:shd w:fill="FFFFFF" w:val="clear"/>
            <w:tcMar>
              <w:top w:type="dxa" w:w="70"/>
              <w:left w:type="dxa" w:w="120"/>
              <w:bottom w:type="dxa" w:w="70"/>
              <w:right w:type="dxa" w:w="120"/>
            </w:tcMar>
            <w:vAlign w:val="center"/>
          </w:tcPr>
          <w:p>
            <w:r>
              <w:rPr>
                <w:sz w:val="19"/>
                <w:szCs w:val="19"/>
              </w:rPr>
              <w:t xml:space="preserve">12.89</w:t>
            </w:r>
          </w:p>
        </w:tc>
      </w:tr>
    </w:tbl>
    <w:p>
      <w:pPr>
        <w:spacing w:after="120"/>
      </w:pPr>
      <w:r>
        <w:rPr>
          <w:sz w:val="21"/>
          <w:szCs w:val="21"/>
        </w:rPr>
        <w:t xml:space="preserve">경계 데이터에 없는 “전남광주통합특별시” 대신, 그 자리를 차지하는 옛 도형 “광주광역시”·“전라남도” 두 곳에 통합 지역의 실제 비율(25.04)을 똑같이 입력하는 근사 방식을 택했습니다. Python·folium 실습에서 GeoJSON 지도에 적용했던 방법과 완전히 동일한 해법입니다.</w:t>
      </w:r>
    </w:p>
    <w:p>
      <w:pPr>
        <w:pStyle w:val="Heading1"/>
        <w:pBdr>
          <w:bottom w:val="single" w:color="1F3864" w:sz="8" w:space="4"/>
        </w:pBdr>
        <w:spacing w:after="160" w:before="360"/>
      </w:pPr>
      <w:r>
        <w:rPr>
          <w:b/>
          <w:bCs/>
          <w:color w:val="1F3864"/>
          <w:sz w:val="30"/>
          <w:szCs w:val="30"/>
        </w:rPr>
        <w:t xml:space="preserve">5. 실습③ — 미리보기 확인 및 게시(Publish)</w:t>
      </w:r>
    </w:p>
    <w:p>
      <w:pPr>
        <w:spacing w:after="120"/>
      </w:pPr>
      <w:r>
        <w:rPr>
          <w:sz w:val="21"/>
          <w:szCs w:val="21"/>
        </w:rPr>
        <w:t xml:space="preserve">값을 다 채운 뒤 “Preview” 탭으로 이동하면 실제 색상 범례(12.89~28.57)가 반영된 코로플레스 지도가 완성됩니다. 색이 가장 진한 지역이 경상북도(28.57)로 가장 높은 고령인구비율을, 가장 옅은 지역이 세종특별시(12.89)로 가장 낮은 값을 나타내 — KOSIS 데이터 분석에서 확인했던 순위와 정확히 일치합니다.</w:t>
      </w:r>
    </w:p>
    <w:p>
      <w:pPr>
        <w:spacing w:after="60" w:before="120"/>
        <w:jc w:val="center"/>
      </w:pPr>
      <w:r>
        <w:drawing>
          <wp:inline distT="0" distB="0" distL="0" distR="0">
            <wp:extent cx="4381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085975"/>
                    </a:xfrm>
                    <a:prstGeom prst="rect">
                      <a:avLst/>
                    </a:prstGeom>
                  </pic:spPr>
                </pic:pic>
              </a:graphicData>
            </a:graphic>
          </wp:inline>
        </w:drawing>
      </w:r>
    </w:p>
    <w:p>
      <w:pPr>
        <w:spacing w:after="200"/>
        <w:jc w:val="center"/>
      </w:pPr>
      <w:r>
        <w:rPr>
          <w:i/>
          <w:iCs/>
          <w:color w:val="666666"/>
          <w:sz w:val="18"/>
          <w:szCs w:val="18"/>
        </w:rPr>
        <w:t xml:space="preserve">그림 5. 완성된 인터랙티브 코로플레스 지도 — 범례 12.89~28.57</w:t>
      </w:r>
    </w:p>
    <w:p>
      <w:pPr>
        <w:spacing w:after="120"/>
      </w:pPr>
      <w:r>
        <w:rPr>
          <w:sz w:val="21"/>
          <w:szCs w:val="21"/>
        </w:rPr>
        <w:t xml:space="preserve">우측 상단(또는 해당 메뉴)의 “Export &amp; publish” → “Publish to share and embed”를 누르면 게시 확인 창이 뜹니다. 게시에 동의하면 이 시각화와 데이터가 공개(public)로 전환되며, 누구나 볼 수 있는 링크가 생성됩니다.</w:t>
      </w:r>
    </w:p>
    <w:p>
      <w:pPr>
        <w:spacing w:after="60" w:before="120"/>
        <w:jc w:val="center"/>
      </w:pPr>
      <w:r>
        <w:drawing>
          <wp:inline distT="0" distB="0" distL="0" distR="0">
            <wp:extent cx="3619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133600"/>
                    </a:xfrm>
                    <a:prstGeom prst="rect">
                      <a:avLst/>
                    </a:prstGeom>
                  </pic:spPr>
                </pic:pic>
              </a:graphicData>
            </a:graphic>
          </wp:inline>
        </w:drawing>
      </w:r>
    </w:p>
    <w:p>
      <w:pPr>
        <w:spacing w:after="200"/>
        <w:jc w:val="center"/>
      </w:pPr>
      <w:r>
        <w:rPr>
          <w:i/>
          <w:iCs/>
          <w:color w:val="666666"/>
          <w:sz w:val="18"/>
          <w:szCs w:val="18"/>
        </w:rPr>
        <w:t xml:space="preserve">그림 6. 게시(Publish) 확인 창</w:t>
      </w:r>
    </w:p>
    <w:p>
      <w:pPr>
        <w:pBdr>
          <w:left w:val="single" w:color="C0510A" w:sz="18" w:space="6"/>
        </w:pBdr>
        <w:shd w:fill="FFF3E0" w:val="clear"/>
        <w:spacing w:after="160"/>
        <w:ind w:left="120"/>
      </w:pPr>
      <w:r>
        <w:rPr>
          <w:i/>
          <w:iCs/>
          <w:color w:val="5C3A00"/>
          <w:sz w:val="20"/>
          <w:szCs w:val="20"/>
        </w:rPr>
        <w:t xml:space="preserve">옵션 확인: “Require password to open”을 체크하지 않으면 링크만으로 누구나 열람할 수 있습니다. “Allow anyone to duplicate this project and data”를 켜두면 다른 사람이 이 프로젝트를 복제해서 자기 데이터로 재사용할 수 있어, 학생 실습용 템플릿 배포에 유용합니다.</w:t>
      </w:r>
    </w:p>
    <w:p>
      <w:pPr>
        <w:spacing w:after="60" w:before="120"/>
        <w:jc w:val="center"/>
      </w:pPr>
      <w:r>
        <w:drawing>
          <wp:inline distT="0" distB="0" distL="0" distR="0">
            <wp:extent cx="2095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2628900"/>
                    </a:xfrm>
                    <a:prstGeom prst="rect">
                      <a:avLst/>
                    </a:prstGeom>
                  </pic:spPr>
                </pic:pic>
              </a:graphicData>
            </a:graphic>
          </wp:inline>
        </w:drawing>
      </w:r>
    </w:p>
    <w:p>
      <w:pPr>
        <w:spacing w:after="200"/>
        <w:jc w:val="center"/>
      </w:pPr>
      <w:r>
        <w:rPr>
          <w:i/>
          <w:iCs/>
          <w:color w:val="666666"/>
          <w:sz w:val="18"/>
          <w:szCs w:val="18"/>
        </w:rPr>
        <w:t xml:space="preserve">그림 7. 게시 완료 화면 — 공유 링크·embed 코드·PPT 내보내기</w:t>
      </w:r>
    </w:p>
    <w:p>
      <w:pPr>
        <w:spacing w:after="120"/>
      </w:pPr>
      <w:r>
        <w:rPr>
          <w:sz w:val="21"/>
          <w:szCs w:val="21"/>
        </w:rPr>
        <w:t xml:space="preserve">게시가 끝나면 “View public project”로 실제 공개 링크를 바로 열어볼 수 있고, “Embed on your website”의 코드를 웹페이지에 삽입하거나, “Export to PowerPoint”로 PPT 강의안에 바로 붙여넣을 수도 있습니다.</w:t>
      </w:r>
    </w:p>
    <w:p>
      <w:pPr>
        <w:pStyle w:val="Heading1"/>
        <w:pBdr>
          <w:bottom w:val="single" w:color="1F3864" w:sz="8" w:space="4"/>
        </w:pBdr>
        <w:spacing w:after="160" w:before="360"/>
      </w:pPr>
      <w:r>
        <w:rPr>
          <w:b/>
          <w:bCs/>
          <w:color w:val="1F3864"/>
          <w:sz w:val="30"/>
          <w:szCs w:val="30"/>
        </w:rPr>
        <w:t xml:space="preserve">6. 심화 실습 — CSV 파일을 직접 업로드하면?</w:t>
      </w:r>
    </w:p>
    <w:p>
      <w:pPr>
        <w:spacing w:after="120"/>
      </w:pPr>
      <w:r>
        <w:rPr>
          <w:sz w:val="21"/>
          <w:szCs w:val="21"/>
        </w:rPr>
        <w:t xml:space="preserve">지금까지는 템플릿의 기존 구조(name/name_eng/val)에 값을 하나씩 타이핑해 넣었습니다. “처음부터 KOSIS에서 만든 CSV 파일을 그대로 업로드하면 더 빠르지 않을까?”라는 질문에서 출발한 비교 실습입니다.</w:t>
      </w:r>
    </w:p>
    <w:p>
      <w:pPr>
        <w:spacing w:after="120"/>
      </w:pPr>
      <w:r>
        <w:rPr>
          <w:sz w:val="21"/>
          <w:szCs w:val="21"/>
        </w:rPr>
        <w:t xml:space="preserve">Data 탭의 “Upload data” 버튼으로 kosis_지역별_고령인구비율_202608.csv를 선택하면, 파일 정보와 함께 가져오기 옵션이 뜹니다. “18 rows, 11 columns”로 인식되었는데, 이는 CSV의 지역코드·지역명·전체/남자/ 여자 인구 및 비율 컬럼이 모두 그대로 들어온다는 의미입니다.</w:t>
      </w:r>
    </w:p>
    <w:p>
      <w:pPr>
        <w:spacing w:after="60" w:before="120"/>
        <w:jc w:val="center"/>
      </w:pPr>
      <w:r>
        <w:drawing>
          <wp:inline distT="0" distB="0" distL="0" distR="0">
            <wp:extent cx="2857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105025"/>
                    </a:xfrm>
                    <a:prstGeom prst="rect">
                      <a:avLst/>
                    </a:prstGeom>
                  </pic:spPr>
                </pic:pic>
              </a:graphicData>
            </a:graphic>
          </wp:inline>
        </w:drawing>
      </w:r>
    </w:p>
    <w:p>
      <w:pPr>
        <w:spacing w:after="200"/>
        <w:jc w:val="center"/>
      </w:pPr>
      <w:r>
        <w:rPr>
          <w:i/>
          <w:iCs/>
          <w:color w:val="666666"/>
          <w:sz w:val="18"/>
          <w:szCs w:val="18"/>
        </w:rPr>
        <w:t xml:space="preserve">그림 8. CSV 업로드 — “Ready to import” 확인 창</w:t>
      </w:r>
    </w:p>
    <w:p>
      <w:pPr>
        <w:pStyle w:val="Heading2"/>
        <w:spacing w:after="120" w:before="280"/>
      </w:pPr>
      <w:r>
        <w:rPr>
          <w:b/>
          <w:bCs/>
          <w:color w:val="1F3864"/>
          <w:sz w:val="24"/>
          <w:szCs w:val="24"/>
        </w:rPr>
        <w:t xml:space="preserve">6.1 문제 발생 — Import 직후</w:t>
      </w:r>
    </w:p>
    <w:p>
      <w:pPr>
        <w:spacing w:after="120"/>
      </w:pPr>
      <w:r>
        <w:rPr>
          <w:sz w:val="21"/>
          <w:szCs w:val="21"/>
        </w:rPr>
        <w:t xml:space="preserve">Import를 실행하면 Regions 시트가 CSV의 원래 컬럼(지역코드, 지역명, 전체_총인구, 전체_고령인구비율 등)으로 통째로 교체됩니다. 오른쪽 설정 패널의 ID·Name·Color by는 자동으로 A열(지역코드, 숫자 코드)에 연결되었는데, 지도 도형은 숫자 코드가 아니라 한글 지역명으로 매칭되는 구조라 지도가 완전히 텅 비어버렸습니다.</w:t>
      </w:r>
    </w:p>
    <w:p>
      <w:pPr>
        <w:spacing w:after="60" w:before="12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676400"/>
                    </a:xfrm>
                    <a:prstGeom prst="rect">
                      <a:avLst/>
                    </a:prstGeom>
                  </pic:spPr>
                </pic:pic>
              </a:graphicData>
            </a:graphic>
          </wp:inline>
        </w:drawing>
      </w:r>
    </w:p>
    <w:p>
      <w:pPr>
        <w:spacing w:after="200"/>
        <w:jc w:val="center"/>
      </w:pPr>
      <w:r>
        <w:rPr>
          <w:i/>
          <w:iCs/>
          <w:color w:val="666666"/>
          <w:sz w:val="18"/>
          <w:szCs w:val="18"/>
        </w:rPr>
        <w:t xml:space="preserve">그림 9. CSV 업로드 직후 Regions 시트 — 컬럼은 채워졌지만 ID가 숫자코드(A열)에 연결됨</w:t>
      </w:r>
    </w:p>
    <w:p>
      <w:pPr>
        <w:spacing w:after="60" w:before="120"/>
        <w:jc w:val="center"/>
      </w:pPr>
      <w:r>
        <w:drawing>
          <wp:inline distT="0" distB="0" distL="0" distR="0">
            <wp:extent cx="2857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733550"/>
                    </a:xfrm>
                    <a:prstGeom prst="rect">
                      <a:avLst/>
                    </a:prstGeom>
                  </pic:spPr>
                </pic:pic>
              </a:graphicData>
            </a:graphic>
          </wp:inline>
        </w:drawing>
      </w:r>
    </w:p>
    <w:p>
      <w:pPr>
        <w:spacing w:after="200"/>
        <w:jc w:val="center"/>
      </w:pPr>
      <w:r>
        <w:rPr>
          <w:i/>
          <w:iCs/>
          <w:color w:val="666666"/>
          <w:sz w:val="18"/>
          <w:szCs w:val="18"/>
        </w:rPr>
        <w:t xml:space="preserve">그림 10. 매칭 실패로 완전히 비어버린 미리보기 지도</w:t>
      </w:r>
    </w:p>
    <w:p>
      <w:pPr>
        <w:pStyle w:val="Heading2"/>
        <w:spacing w:after="120" w:before="280"/>
      </w:pPr>
      <w:r>
        <w:rPr>
          <w:b/>
          <w:bCs/>
          <w:color w:val="1F3864"/>
          <w:sz w:val="24"/>
          <w:szCs w:val="24"/>
        </w:rPr>
        <w:t xml:space="preserve">6.2 복구 — ID를 지역명 컬럼으로 재연결</w:t>
      </w:r>
    </w:p>
    <w:p>
      <w:pPr>
        <w:spacing w:after="120"/>
      </w:pPr>
      <w:r>
        <w:rPr>
          <w:sz w:val="21"/>
          <w:szCs w:val="21"/>
        </w:rPr>
        <w:t xml:space="preserve">오른쪽 패널에서 ID·Name·Label을 모두 A열(지역코드)에서 B열(지역명)로 바꾸고, Color by를 전체_고령인구비율 하나로 좁히자 지도가 다시 정상적으로 렌더링되었습니다. 다만 CSV의 지역명이 “전남광주통합특별시” 한 줄로만 되어 있어, 데이터 입력 단계에서 이미 겪었던 광주·전남 근사 처리를 다시 두 행 추가하는 방식으로 반복해야 했습니다.</w:t>
      </w:r>
    </w:p>
    <w:p>
      <w:pPr>
        <w:spacing w:after="60" w:before="120"/>
        <w:jc w:val="center"/>
      </w:pPr>
      <w:r>
        <w:drawing>
          <wp:inline distT="0" distB="0" distL="0" distR="0">
            <wp:extent cx="4572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028825"/>
                    </a:xfrm>
                    <a:prstGeom prst="rect">
                      <a:avLst/>
                    </a:prstGeom>
                  </pic:spPr>
                </pic:pic>
              </a:graphicData>
            </a:graphic>
          </wp:inline>
        </w:drawing>
      </w:r>
    </w:p>
    <w:p>
      <w:pPr>
        <w:spacing w:after="200"/>
        <w:jc w:val="center"/>
      </w:pPr>
      <w:r>
        <w:rPr>
          <w:i/>
          <w:iCs/>
          <w:color w:val="666666"/>
          <w:sz w:val="18"/>
          <w:szCs w:val="18"/>
        </w:rPr>
        <w:t xml:space="preserve">그림 11. ID·Name을 지역명(B열)로 재연결한 뒤 다시 렌더링된 지도</w:t>
      </w:r>
    </w:p>
    <w:p>
      <w:pPr>
        <w:pStyle w:val="Heading1"/>
        <w:pBdr>
          <w:bottom w:val="single" w:color="1F3864" w:sz="8" w:space="4"/>
        </w:pBdr>
        <w:spacing w:after="160" w:before="360"/>
      </w:pPr>
      <w:r>
        <w:rPr>
          <w:b/>
          <w:bCs/>
          <w:color w:val="1F3864"/>
          <w:sz w:val="30"/>
          <w:szCs w:val="30"/>
        </w:rPr>
        <w:t xml:space="preserve">7. 비교 및 결론 — 어느 방식이 효율적인가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방식</w:t>
            </w:r>
          </w:p>
        </w:tc>
        <w:tc>
          <w:tcPr>
            <w:tcW w:type="dxa" w:w="3200"/>
            <w:shd w:fill="1F3864" w:val="clear"/>
            <w:tcMar>
              <w:top w:type="dxa" w:w="80"/>
              <w:left w:type="dxa" w:w="120"/>
              <w:bottom w:type="dxa" w:w="80"/>
              <w:right w:type="dxa" w:w="120"/>
            </w:tcMar>
            <w:vAlign w:val="center"/>
          </w:tcPr>
          <w:p>
            <w:pPr>
              <w:jc w:val="left"/>
            </w:pPr>
            <w:r>
              <w:rPr>
                <w:b/>
                <w:bCs/>
                <w:color w:val="FFFFFF"/>
                <w:sz w:val="19"/>
                <w:szCs w:val="19"/>
              </w:rPr>
              <w:t xml:space="preserve">장점</w:t>
            </w:r>
          </w:p>
        </w:tc>
        <w:tc>
          <w:tcPr>
            <w:tcW w:type="dxa" w:w="3838"/>
            <w:shd w:fill="1F3864" w:val="clear"/>
            <w:tcMar>
              <w:top w:type="dxa" w:w="80"/>
              <w:left w:type="dxa" w:w="120"/>
              <w:bottom w:type="dxa" w:w="80"/>
              <w:right w:type="dxa" w:w="120"/>
            </w:tcMar>
            <w:vAlign w:val="center"/>
          </w:tcPr>
          <w:p>
            <w:pPr>
              <w:jc w:val="left"/>
            </w:pPr>
            <w:r>
              <w:rPr>
                <w:b/>
                <w:bCs/>
                <w:color w:val="FFFFFF"/>
                <w:sz w:val="19"/>
                <w:szCs w:val="19"/>
              </w:rPr>
              <w:t xml:space="preserve">이번 실습에서 드러난 단점</w:t>
            </w:r>
          </w:p>
        </w:tc>
      </w:tr>
      <w:tr>
        <w:tc>
          <w:tcPr>
            <w:tcW w:type="dxa" w:w="2600"/>
            <w:shd w:fill="FFFFFF" w:val="clear"/>
            <w:tcMar>
              <w:top w:type="dxa" w:w="70"/>
              <w:left w:type="dxa" w:w="120"/>
              <w:bottom w:type="dxa" w:w="70"/>
              <w:right w:type="dxa" w:w="120"/>
            </w:tcMar>
            <w:vAlign w:val="center"/>
          </w:tcPr>
          <w:p>
            <w:r>
              <w:rPr>
                <w:sz w:val="19"/>
                <w:szCs w:val="19"/>
              </w:rPr>
              <w:t xml:space="preserve">① 템플릿 구조에 값만 입력</w:t>
            </w:r>
          </w:p>
        </w:tc>
        <w:tc>
          <w:tcPr>
            <w:tcW w:type="dxa" w:w="3200"/>
            <w:shd w:fill="FFFFFF" w:val="clear"/>
            <w:tcMar>
              <w:top w:type="dxa" w:w="70"/>
              <w:left w:type="dxa" w:w="120"/>
              <w:bottom w:type="dxa" w:w="70"/>
              <w:right w:type="dxa" w:w="120"/>
            </w:tcMar>
            <w:vAlign w:val="center"/>
          </w:tcPr>
          <w:p>
            <w:r>
              <w:rPr>
                <w:sz w:val="19"/>
                <w:szCs w:val="19"/>
              </w:rPr>
              <w:t xml:space="preserve">도형-이름 매칭이 이미 되어 있어 실패할 일이 거의 없음</w:t>
            </w:r>
          </w:p>
        </w:tc>
        <w:tc>
          <w:tcPr>
            <w:tcW w:type="dxa" w:w="3838"/>
            <w:shd w:fill="FFFFFF" w:val="clear"/>
            <w:tcMar>
              <w:top w:type="dxa" w:w="70"/>
              <w:left w:type="dxa" w:w="120"/>
              <w:bottom w:type="dxa" w:w="70"/>
              <w:right w:type="dxa" w:w="120"/>
            </w:tcMar>
            <w:vAlign w:val="center"/>
          </w:tcPr>
          <w:p>
            <w:r>
              <w:rPr>
                <w:sz w:val="19"/>
                <w:szCs w:val="19"/>
              </w:rPr>
              <w:t xml:space="preserve">지역 수가 많으면 하나씩 타이핑하는 수고가 있음</w:t>
            </w:r>
          </w:p>
        </w:tc>
      </w:tr>
      <w:tr>
        <w:tc>
          <w:tcPr>
            <w:tcW w:type="dxa" w:w="2600"/>
            <w:shd w:fill="F2F2F2" w:val="clear"/>
            <w:tcMar>
              <w:top w:type="dxa" w:w="70"/>
              <w:left w:type="dxa" w:w="120"/>
              <w:bottom w:type="dxa" w:w="70"/>
              <w:right w:type="dxa" w:w="120"/>
            </w:tcMar>
            <w:vAlign w:val="center"/>
          </w:tcPr>
          <w:p>
            <w:r>
              <w:rPr>
                <w:sz w:val="19"/>
                <w:szCs w:val="19"/>
              </w:rPr>
              <w:t xml:space="preserve">② CSV 파일 통째로 업로드</w:t>
            </w:r>
          </w:p>
        </w:tc>
        <w:tc>
          <w:tcPr>
            <w:tcW w:type="dxa" w:w="3200"/>
            <w:shd w:fill="F2F2F2" w:val="clear"/>
            <w:tcMar>
              <w:top w:type="dxa" w:w="70"/>
              <w:left w:type="dxa" w:w="120"/>
              <w:bottom w:type="dxa" w:w="70"/>
              <w:right w:type="dxa" w:w="120"/>
            </w:tcMar>
            <w:vAlign w:val="center"/>
          </w:tcPr>
          <w:p>
            <w:r>
              <w:rPr>
                <w:sz w:val="19"/>
                <w:szCs w:val="19"/>
              </w:rPr>
              <w:t xml:space="preserve">여러 컬럼(전체·남·여 비율)을 한 번에 가져와 속도가 빠를 것으로 기대됨</w:t>
            </w:r>
          </w:p>
        </w:tc>
        <w:tc>
          <w:tcPr>
            <w:tcW w:type="dxa" w:w="3838"/>
            <w:shd w:fill="F2F2F2" w:val="clear"/>
            <w:tcMar>
              <w:top w:type="dxa" w:w="70"/>
              <w:left w:type="dxa" w:w="120"/>
              <w:bottom w:type="dxa" w:w="70"/>
              <w:right w:type="dxa" w:w="120"/>
            </w:tcMar>
            <w:vAlign w:val="center"/>
          </w:tcPr>
          <w:p>
            <w:r>
              <w:rPr>
                <w:sz w:val="19"/>
                <w:szCs w:val="19"/>
              </w:rPr>
              <w:t xml:space="preserve">①ID/Name 등 매칭 설정 재연결 ②행정구역 통합 이름 불일치 보정 — 두 가지 후속 작업이 그대로 남아 있어, 오히려 단계가 더 늘어남</w:t>
            </w:r>
          </w:p>
        </w:tc>
      </w:tr>
    </w:tbl>
    <w:p>
      <w:pPr>
        <w:spacing w:after="120"/>
      </w:pPr>
      <w:r>
        <w:rPr>
          <w:sz w:val="21"/>
          <w:szCs w:val="21"/>
        </w:rPr>
        <w:t xml:space="preserve">결론적으로, 지금처럼 지도 도형과 통계 데이터의 지역명 체계가 정확히 일치하지 않는 실제 공공데이터를 다룰 때는 “①템플릿 구조에 값을 맞춰 입력하는 방식”이 훨씬 안전하고 효율적입니다. CSV 업로드 방식이 유리해지는 경우는, 지도 경계와 완전히 동일한 지역명 체계를 쓰는 정제된 데이터를 매달 반복적으로 갱신해야 하는 상황 정도로 제한적입니다.</w:t>
      </w:r>
    </w:p>
    <w:p>
      <w:pPr>
        <w:pBdr>
          <w:left w:val="single" w:color="C0510A" w:sz="18" w:space="6"/>
        </w:pBdr>
        <w:shd w:fill="FFF3E0" w:val="clear"/>
        <w:spacing w:after="160"/>
        <w:ind w:left="120"/>
      </w:pPr>
      <w:r>
        <w:rPr>
          <w:i/>
          <w:iCs/>
          <w:color w:val="5C3A00"/>
          <w:sz w:val="20"/>
          <w:szCs w:val="20"/>
        </w:rPr>
        <w:t xml:space="preserve">공통 교훈: 새로운 데이터를 새로운 도구에 넣을 때는, 도구가 이미 갖추고 있는 구조(템플릿의 컬럼·ID 체계)를 먼저 파악하고 그 구조에 맞춰 데이터를 넣는 것이, “내가 가진 데이터 형태 그대로 밀어 넣는” 것보다 훨씬 안정적입니다. KOSIS API 실습에서 “통계표마다 지역 코드 체계가 다르다”는 것을 먼저 확인해야 했던 것과 같은 맥락의 교훈입니다.</w:t>
      </w:r>
    </w:p>
    <w:p>
      <w:pPr>
        <w:pStyle w:val="Heading1"/>
        <w:pBdr>
          <w:bottom w:val="single" w:color="1F3864" w:sz="8" w:space="4"/>
        </w:pBdr>
        <w:spacing w:after="160" w:before="360"/>
      </w:pPr>
      <w:r>
        <w:rPr>
          <w:b/>
          <w:bCs/>
          <w:color w:val="1F3864"/>
          <w:sz w:val="30"/>
          <w:szCs w:val="30"/>
        </w:rPr>
        <w:t xml:space="preserve">8. 부록 — 공유 및 활용 방법</w:t>
      </w:r>
    </w:p>
    <w:p>
      <w:pPr>
        <w:pStyle w:val="ListParagraph"/>
        <w:numPr>
          <w:ilvl w:val="0"/>
          <w:numId w:val="2"/>
        </w:numPr>
        <w:spacing w:after="60"/>
      </w:pPr>
      <w:r>
        <w:rPr>
          <w:sz w:val="21"/>
          <w:szCs w:val="21"/>
        </w:rPr>
        <w:t xml:space="preserve">공유 링크: “View public project”로 열리는 링크를 그대로 학생들에게 전달 — 별도 로그인 없이 열람 가능</w:t>
      </w:r>
    </w:p>
    <w:p>
      <w:pPr>
        <w:pStyle w:val="ListParagraph"/>
        <w:numPr>
          <w:ilvl w:val="0"/>
          <w:numId w:val="2"/>
        </w:numPr>
        <w:spacing w:after="60"/>
      </w:pPr>
      <w:r>
        <w:rPr>
          <w:sz w:val="21"/>
          <w:szCs w:val="21"/>
        </w:rPr>
        <w:t xml:space="preserve">웹페이지 삽입: “Embed on your website”의 &lt;div class="flourish-embed..."&gt; 코드를 강의자료 사이트·블로그에 붙여넣기</w:t>
      </w:r>
    </w:p>
    <w:p>
      <w:pPr>
        <w:pStyle w:val="ListParagraph"/>
        <w:numPr>
          <w:ilvl w:val="0"/>
          <w:numId w:val="2"/>
        </w:numPr>
        <w:spacing w:after="60"/>
      </w:pPr>
      <w:r>
        <w:rPr>
          <w:sz w:val="21"/>
          <w:szCs w:val="21"/>
        </w:rPr>
        <w:t xml:space="preserve">PPT 활용: “Export to PowerPoint”로 강의안 슬라이드에 바로 붙일 수 있는 형태로 내보내기</w:t>
      </w:r>
    </w:p>
    <w:p>
      <w:pPr>
        <w:pStyle w:val="ListParagraph"/>
        <w:numPr>
          <w:ilvl w:val="0"/>
          <w:numId w:val="2"/>
        </w:numPr>
        <w:spacing w:after="60"/>
      </w:pPr>
      <w:r>
        <w:rPr>
          <w:sz w:val="21"/>
          <w:szCs w:val="21"/>
        </w:rPr>
        <w:t xml:space="preserve">비공개 전환: 더 이상 필요 없어지면 “Unpublish project”로 다시 비공개 전환 가능</w:t>
      </w:r>
    </w:p>
    <w:p>
      <w:pPr>
        <w:pStyle w:val="ListParagraph"/>
        <w:numPr>
          <w:ilvl w:val="0"/>
          <w:numId w:val="2"/>
        </w:numPr>
        <w:spacing w:after="60"/>
      </w:pPr>
      <w:r>
        <w:rPr>
          <w:sz w:val="21"/>
          <w:szCs w:val="21"/>
        </w:rPr>
        <w:t xml:space="preserve">무료 플랜 주의사항: 게시(Publish) 시 시각화와 데이터가 기본적으로 공개(public)로 전환됨 — 민감한 데이터는 게시 전 반드시 확인</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a76d444835f071554b6697fe64e8470a3f8ae5.png"/><Relationship Id="rId8" Type="http://schemas.openxmlformats.org/officeDocument/2006/relationships/image" Target="media/0c91bc89f8ccdaa9a7acc23dfeeb8fb212b02e8a.png"/><Relationship Id="rId9" Type="http://schemas.openxmlformats.org/officeDocument/2006/relationships/image" Target="media/14ee7e89aec65ece9920eb9c3fb688c36ef7605e.png"/><Relationship Id="rId10" Type="http://schemas.openxmlformats.org/officeDocument/2006/relationships/image" Target="media/6b7a02a1348da6c50a113b1f93012f2c0d80c5e5.png"/><Relationship Id="rId11" Type="http://schemas.openxmlformats.org/officeDocument/2006/relationships/image" Target="media/1179a58d2524855193b13bb052f5362b2df843f4.png"/><Relationship Id="rId12" Type="http://schemas.openxmlformats.org/officeDocument/2006/relationships/image" Target="media/2c37c8fcadf28590dd604a5fbd6f5ecddf014f9c.png"/><Relationship Id="rId13" Type="http://schemas.openxmlformats.org/officeDocument/2006/relationships/image" Target="media/5702be2157a4858545076cba5a2f281865276d85.png"/><Relationship Id="rId14" Type="http://schemas.openxmlformats.org/officeDocument/2006/relationships/image" Target="media/29fdd7c4e7cd535c0010719f90ff5cfc4c9b59af.png"/><Relationship Id="rId15" Type="http://schemas.openxmlformats.org/officeDocument/2006/relationships/image" Target="media/aa8f75f03b243a5163c11d5f385c22c7e27c3da3.png"/><Relationship Id="rId16" Type="http://schemas.openxmlformats.org/officeDocument/2006/relationships/image" Target="media/9666678c455e483c3334bdb0efb25c2a7808aaee.png"/><Relationship Id="rId17" Type="http://schemas.openxmlformats.org/officeDocument/2006/relationships/image" Target="media/5e2897aa0f3c19cfdb4727813fc7f39bc3d7151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2026-09-24T06:43:24.391Z</dcterms:created>
  <dcterms:modified xsi:type="dcterms:W3CDTF">2026-09-24T06:43:24.401Z</dcterms:modified>
</cp:coreProperties>
</file>

<file path=docProps/custom.xml><?xml version="1.0" encoding="utf-8"?>
<Properties xmlns="http://schemas.openxmlformats.org/officeDocument/2006/custom-properties" xmlns:vt="http://schemas.openxmlformats.org/officeDocument/2006/docPropsVTypes"/>
</file>