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MarinBio 6-Month Strategic White Paper Plan</w:t>
      </w:r>
    </w:p>
    <w:p>
      <w:r>
        <w:rPr>
          <w:b/>
        </w:rPr>
        <w:t xml:space="preserve">Date Created: </w:t>
      </w:r>
      <w:r>
        <w:t>2025-06-13</w:t>
        <w:br/>
      </w:r>
      <w:r>
        <w:rPr>
          <w:b/>
        </w:rPr>
        <w:t xml:space="preserve">Created By: </w:t>
      </w:r>
      <w:r>
        <w:t>MarinBio Client Steward (AI)</w:t>
        <w:br/>
      </w:r>
      <w:r>
        <w:rPr>
          <w:b/>
        </w:rPr>
        <w:t xml:space="preserve">Objective: </w:t>
      </w:r>
      <w:r>
        <w:t>To establish MarinBio as a premier thought leader in bioanalytical services, targeting key decision-makers in virtual, small, and mid-size biotech and pharmaceutical companies. This plan outlines a series of six monthly white papers designed to showcase MarinBio's core strengths: deep scientific expertise, impeccable regulatory compliance, and strategic partnership.</w:t>
      </w:r>
    </w:p>
    <w:p/>
    <w:p>
      <w:pPr>
        <w:pStyle w:val="Heading2"/>
      </w:pPr>
      <w:r>
        <w:t>Month 1: July 2025</w:t>
      </w:r>
    </w:p>
    <w:p>
      <w:r>
        <w:rPr>
          <w:b/>
        </w:rPr>
        <w:t xml:space="preserve">Title: </w:t>
      </w:r>
      <w:r>
        <w:t>De-Risking Your Path to IND: A Framework for Phase-Appropriate Bioanalytical Assay Strategy</w:t>
      </w:r>
    </w:p>
    <w:p>
      <w:r>
        <w:rPr>
          <w:b/>
        </w:rPr>
        <w:t xml:space="preserve">Abstract: </w:t>
      </w:r>
      <w:r>
        <w:t>This foundational white paper details the critical importance of a phase-appropriate assay strategy for successful IND submissions. It provides a clear framework for aligning assay development, qualification, and validation with FDA/ICH guidelines, using MarinBio's 3-stage process as a model. The paper will demonstrate how a robust, forward-thinking assay strategy from preclinical stages can prevent costly delays and increase the probability of regulatory success.</w:t>
      </w:r>
    </w:p>
    <w:p>
      <w:r>
        <w:rPr>
          <w:b/>
        </w:rPr>
        <w:t xml:space="preserve">Target Audience: </w:t>
      </w:r>
      <w:r>
        <w:t>C-Suite executives (CEO, CSO), VPs of R&amp;D, and Program Leads in early-stage biotech and pharma.</w:t>
      </w:r>
    </w:p>
    <w:p>
      <w:r>
        <w:rPr>
          <w:b/>
        </w:rPr>
        <w:t xml:space="preserve">Strategic Goal: </w:t>
      </w:r>
      <w:r>
        <w:t>Solidify MarinBio's reputation as a top-tier regulatory expert and trusted guide for navigating the path to clinical trials.</w:t>
      </w:r>
    </w:p>
    <w:p/>
    <w:p>
      <w:pPr>
        <w:pStyle w:val="Heading2"/>
      </w:pPr>
      <w:r>
        <w:t>Month 2: August 2025</w:t>
      </w:r>
    </w:p>
    <w:p>
      <w:r>
        <w:rPr>
          <w:b/>
        </w:rPr>
        <w:t xml:space="preserve">Title: </w:t>
      </w:r>
      <w:r>
        <w:t>Beyond the Checkpoint: Advanced T-Cell Assays for Next-Generation Immuno-Oncology Therapeutics</w:t>
      </w:r>
    </w:p>
    <w:p>
      <w:r>
        <w:rPr>
          <w:b/>
        </w:rPr>
        <w:t xml:space="preserve">Abstract: </w:t>
      </w:r>
      <w:r>
        <w:t>As immuno-oncology moves beyond checkpoint inhibitors, the demand for sophisticated T-cell functional assays has intensified. This paper explores the nuances of selecting and customizing assays (e.g., cytotoxicity, activation, proliferation, cytokine release) to accurately measure the efficacy and mechanism of action for novel I-O therapies. It will feature case examples of complex assay design.</w:t>
      </w:r>
    </w:p>
    <w:p>
      <w:r>
        <w:rPr>
          <w:b/>
        </w:rPr>
        <w:t xml:space="preserve">Target Audience: </w:t>
      </w:r>
      <w:r>
        <w:t>Senior Scientists, Principal Investigators, and R&amp;D Directors specializing in oncology and immunology.</w:t>
      </w:r>
    </w:p>
    <w:p>
      <w:r>
        <w:rPr>
          <w:b/>
        </w:rPr>
        <w:t xml:space="preserve">Strategic Goal: </w:t>
      </w:r>
      <w:r>
        <w:t>Capture the attention of the highly technical immuno-oncology R&amp;D community and showcase MarinBio's specialized expertise.</w:t>
      </w:r>
    </w:p>
    <w:p/>
    <w:p>
      <w:pPr>
        <w:pStyle w:val="Heading2"/>
      </w:pPr>
      <w:r>
        <w:t>Month 3: September 2025</w:t>
      </w:r>
    </w:p>
    <w:p>
      <w:r>
        <w:rPr>
          <w:b/>
        </w:rPr>
        <w:t xml:space="preserve">Title: </w:t>
      </w:r>
      <w:r>
        <w:t>The Potency Puzzle: Solving AAV Gene Therapy Assay Challenges with Advanced Flow Cytometry</w:t>
      </w:r>
    </w:p>
    <w:p>
      <w:r>
        <w:rPr>
          <w:b/>
        </w:rPr>
        <w:t xml:space="preserve">Abstract: </w:t>
      </w:r>
      <w:r>
        <w:t>Potency assays are a major regulatory hurdle for AAV-based gene therapies. This white paper will provide a deep dive into the challenges of developing robust, reliable AAV potency assays and demonstrate how advanced flow cytometry techniques can provide precise, quantitative data that meets FDA expectations. It will cover best practices for assay design, validation, and implementation.</w:t>
      </w:r>
    </w:p>
    <w:p>
      <w:r>
        <w:rPr>
          <w:b/>
        </w:rPr>
        <w:t xml:space="preserve">Target Audience: </w:t>
      </w:r>
      <w:r>
        <w:t>Technical and project leads in gene therapy development, CMC specialists.</w:t>
      </w:r>
    </w:p>
    <w:p>
      <w:r>
        <w:rPr>
          <w:b/>
        </w:rPr>
        <w:t xml:space="preserve">Strategic Goal: </w:t>
      </w:r>
      <w:r>
        <w:t>Position MarinBio as the leading expert in the high-growth, high-complexity field of gene therapy bioanalysis.</w:t>
      </w:r>
    </w:p>
    <w:p/>
    <w:p>
      <w:pPr>
        <w:pStyle w:val="Heading2"/>
      </w:pPr>
      <w:r>
        <w:t>Month 4: October 2025</w:t>
      </w:r>
    </w:p>
    <w:p>
      <w:r>
        <w:rPr>
          <w:b/>
        </w:rPr>
        <w:t xml:space="preserve">Title: </w:t>
      </w:r>
      <w:r>
        <w:t>The Virtual Biotech's CRO: A Blueprint for a Successful Outsourcing Partnership</w:t>
      </w:r>
    </w:p>
    <w:p>
      <w:r>
        <w:rPr>
          <w:b/>
        </w:rPr>
        <w:t xml:space="preserve">Abstract: </w:t>
      </w:r>
      <w:r>
        <w:t>Virtual biotechs require more than a vendor; they need a true scientific partner. This white paper outlines a blueprint for a successful CRO partnership, focusing on the specific needs of virtual companies: direct access to senior scientists, proactive communication, flexible project management, and unwavering regulatory guidance. It will use MarinBio's partnership model as the ideal framework.</w:t>
      </w:r>
    </w:p>
    <w:p>
      <w:r>
        <w:rPr>
          <w:b/>
        </w:rPr>
        <w:t xml:space="preserve">Target Audience: </w:t>
      </w:r>
      <w:r>
        <w:t>Founders, CEOs, and VPs of Operations at virtual and small biotech companies.</w:t>
      </w:r>
    </w:p>
    <w:p>
      <w:r>
        <w:rPr>
          <w:b/>
        </w:rPr>
        <w:t xml:space="preserve">Strategic Goal: </w:t>
      </w:r>
      <w:r>
        <w:t>Directly target and resonate with MarinBio's key growth market, addressing their specific pain points.</w:t>
      </w:r>
    </w:p>
    <w:p/>
    <w:p>
      <w:pPr>
        <w:pStyle w:val="Heading2"/>
      </w:pPr>
      <w:r>
        <w:t>Month 5: November 2025</w:t>
      </w:r>
    </w:p>
    <w:p>
      <w:r>
        <w:rPr>
          <w:b/>
        </w:rPr>
        <w:t xml:space="preserve">Title: </w:t>
      </w:r>
      <w:r>
        <w:t>From Bench to BLA: A Case Study in GMP-Compliant Lot Release Assay Validation</w:t>
      </w:r>
    </w:p>
    <w:p>
      <w:r>
        <w:rPr>
          <w:b/>
        </w:rPr>
        <w:t xml:space="preserve">Abstract: </w:t>
      </w:r>
      <w:r>
        <w:t>This paper will walk through the end-to-end process of validating a GMP-compliant lot release potency assay, from late-stage clinical development through to BLA submission readiness. It will cover the statistical requirements, documentation, and QC/QA oversight necessary for a successful validation package, highlighting MarinBio's meticulous approach and successful track record.</w:t>
      </w:r>
    </w:p>
    <w:p>
      <w:r>
        <w:rPr>
          <w:b/>
        </w:rPr>
        <w:t xml:space="preserve">Target Audience: </w:t>
      </w:r>
      <w:r>
        <w:t>Heads of Quality, CMC, and Regulatory Affairs.</w:t>
      </w:r>
    </w:p>
    <w:p>
      <w:r>
        <w:rPr>
          <w:b/>
        </w:rPr>
        <w:t xml:space="preserve">Strategic Goal: </w:t>
      </w:r>
      <w:r>
        <w:t>Build confidence in MarinBio's ability to deliver on the most critical, high-stakes regulatory assays.</w:t>
      </w:r>
    </w:p>
    <w:p/>
    <w:p>
      <w:pPr>
        <w:pStyle w:val="Heading2"/>
      </w:pPr>
      <w:r>
        <w:t>Month 6: December 2025</w:t>
      </w:r>
    </w:p>
    <w:p>
      <w:r>
        <w:rPr>
          <w:b/>
        </w:rPr>
        <w:t xml:space="preserve">Title: </w:t>
      </w:r>
      <w:r>
        <w:t>The Future of the Assay: Integrating AI and Advanced Analytics in Preclinical Development</w:t>
      </w:r>
    </w:p>
    <w:p>
      <w:r>
        <w:rPr>
          <w:b/>
        </w:rPr>
        <w:t xml:space="preserve">Abstract: </w:t>
      </w:r>
      <w:r>
        <w:t>Looking ahead, this paper will explore how emerging technologies like AI and advanced data analytics are beginning to influence preclinical drug development and bioassay interpretation. It will discuss how a forward-thinking CRO can leverage these tools to provide deeper insights, improve predictive accuracy, and accelerate development timelines, positioning MarinBio at the forefront of industry innovation.</w:t>
      </w:r>
    </w:p>
    <w:p>
      <w:r>
        <w:rPr>
          <w:b/>
        </w:rPr>
        <w:t xml:space="preserve">Target Audience: </w:t>
      </w:r>
      <w:r>
        <w:t>Strategic leaders, investors, and innovators in the biotech space.</w:t>
      </w:r>
    </w:p>
    <w:p>
      <w:r>
        <w:rPr>
          <w:b/>
        </w:rPr>
        <w:t xml:space="preserve">Strategic Goal: </w:t>
      </w:r>
      <w:r>
        <w:t>Demonstrate thought leadership and a forward-looking vision, solidifying MarinBio's status as an innovator, not just a service provider.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