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7CEFD" w14:textId="77777777" w:rsidR="002C541C" w:rsidRPr="00EC65D7" w:rsidRDefault="002C541C" w:rsidP="002C541C">
      <w:pPr>
        <w:jc w:val="center"/>
        <w:rPr>
          <w:rFonts w:ascii="Aptos" w:eastAsia="Times New Roman" w:hAnsi="Aptos"/>
          <w:sz w:val="48"/>
          <w:szCs w:val="48"/>
        </w:rPr>
      </w:pPr>
      <w:r w:rsidRPr="00EC65D7">
        <w:rPr>
          <w:rFonts w:ascii="Aptos" w:hAnsi="Aptos"/>
          <w:sz w:val="48"/>
          <w:szCs w:val="48"/>
        </w:rPr>
        <w:t xml:space="preserve">In-Depth Rationale for </w:t>
      </w:r>
      <w:proofErr w:type="spellStart"/>
      <w:r w:rsidRPr="00EC65D7">
        <w:rPr>
          <w:rFonts w:ascii="Aptos" w:hAnsi="Aptos"/>
          <w:sz w:val="48"/>
          <w:szCs w:val="48"/>
        </w:rPr>
        <w:t>MarinBio</w:t>
      </w:r>
      <w:proofErr w:type="spellEnd"/>
      <w:r w:rsidRPr="00EC65D7">
        <w:rPr>
          <w:rFonts w:ascii="Aptos" w:hAnsi="Aptos"/>
          <w:sz w:val="48"/>
          <w:szCs w:val="48"/>
        </w:rPr>
        <w:t xml:space="preserve"> Strategic White Paper Series</w:t>
      </w:r>
    </w:p>
    <w:p w14:paraId="4FA94624" w14:textId="77777777" w:rsidR="007D1D70" w:rsidRDefault="007D1D70" w:rsidP="002C541C">
      <w:pPr>
        <w:pStyle w:val="NormalWeb"/>
        <w:rPr>
          <w:rStyle w:val="Strong"/>
          <w:rFonts w:ascii="Calibri" w:hAnsi="Calibri" w:cs="Calibri"/>
        </w:rPr>
      </w:pPr>
    </w:p>
    <w:p w14:paraId="2BBCB300" w14:textId="166F8761" w:rsidR="002C541C" w:rsidRDefault="002C541C" w:rsidP="002C541C">
      <w:pPr>
        <w:pStyle w:val="NormalWeb"/>
        <w:rPr>
          <w:rFonts w:ascii="Calibri" w:hAnsi="Calibri" w:cs="Calibri"/>
        </w:rPr>
      </w:pPr>
      <w:r w:rsidRPr="002C541C">
        <w:rPr>
          <w:rStyle w:val="Strong"/>
          <w:rFonts w:ascii="Calibri" w:hAnsi="Calibri" w:cs="Calibri"/>
        </w:rPr>
        <w:t>Objective:</w:t>
      </w:r>
      <w:r w:rsidRPr="002C541C">
        <w:rPr>
          <w:rFonts w:ascii="Calibri" w:hAnsi="Calibri" w:cs="Calibri"/>
        </w:rPr>
        <w:t xml:space="preserve"> To provide </w:t>
      </w:r>
      <w:proofErr w:type="spellStart"/>
      <w:r w:rsidRPr="002C541C">
        <w:rPr>
          <w:rFonts w:ascii="Calibri" w:hAnsi="Calibri" w:cs="Calibri"/>
        </w:rPr>
        <w:t>MarinBio's</w:t>
      </w:r>
      <w:proofErr w:type="spellEnd"/>
      <w:r w:rsidRPr="002C541C">
        <w:rPr>
          <w:rFonts w:ascii="Calibri" w:hAnsi="Calibri" w:cs="Calibri"/>
        </w:rPr>
        <w:t xml:space="preserve"> scientific leadership with a comprehensive, evidence-based rationale for the proposed 6-month white paper plan. This document synthesizes insights from all available source materials to justify each topic's strategic value, aligning with the previously socialized white paper titles.</w:t>
      </w:r>
    </w:p>
    <w:p w14:paraId="02B5D341" w14:textId="77777777" w:rsidR="002C541C" w:rsidRDefault="002C541C" w:rsidP="002C541C">
      <w:pPr>
        <w:pStyle w:val="NormalWeb"/>
        <w:rPr>
          <w:rFonts w:ascii="Calibri" w:hAnsi="Calibri" w:cs="Calibri"/>
        </w:rPr>
      </w:pPr>
    </w:p>
    <w:p w14:paraId="4E773E4B" w14:textId="77777777" w:rsidR="007D1D70" w:rsidRPr="00EC65D7" w:rsidRDefault="007D1D70" w:rsidP="007D1D70">
      <w:pPr>
        <w:pStyle w:val="Heading1"/>
        <w:rPr>
          <w:rFonts w:ascii="Aptos" w:hAnsi="Aptos"/>
        </w:rPr>
      </w:pPr>
      <w:r w:rsidRPr="00EC65D7">
        <w:rPr>
          <w:rFonts w:ascii="Aptos" w:hAnsi="Aptos"/>
        </w:rPr>
        <w:t>Table of Contents</w:t>
      </w:r>
    </w:p>
    <w:sdt>
      <w:sdtPr>
        <w:id w:val="-49996732"/>
        <w:docPartObj>
          <w:docPartGallery w:val="Table of Contents"/>
          <w:docPartUnique/>
        </w:docPartObj>
      </w:sdtPr>
      <w:sdtEndPr>
        <w:rPr>
          <w:rFonts w:ascii="Calibri" w:hAnsi="Calibri" w:cs="Calibri"/>
          <w:i w:val="0"/>
          <w:iCs w:val="0"/>
          <w:noProof/>
          <w:sz w:val="22"/>
          <w:szCs w:val="22"/>
        </w:rPr>
      </w:sdtEndPr>
      <w:sdtContent>
        <w:p w14:paraId="7B43E0DE" w14:textId="5580D4CA" w:rsidR="002C541C" w:rsidRDefault="002C541C">
          <w:pPr>
            <w:pStyle w:val="TOC1"/>
            <w:tabs>
              <w:tab w:val="right" w:leader="dot" w:pos="8630"/>
            </w:tabs>
            <w:rPr>
              <w:rFonts w:eastAsiaTheme="minorEastAsia"/>
              <w:b w:val="0"/>
              <w:bCs w:val="0"/>
              <w:i w:val="0"/>
              <w:iCs w:val="0"/>
              <w:noProof/>
              <w:kern w:val="2"/>
              <w14:ligatures w14:val="standardContextual"/>
            </w:rPr>
          </w:pPr>
          <w:r w:rsidRPr="002C541C">
            <w:rPr>
              <w:rFonts w:ascii="Calibri" w:hAnsi="Calibri" w:cs="Calibri"/>
              <w:b w:val="0"/>
              <w:bCs w:val="0"/>
            </w:rPr>
            <w:fldChar w:fldCharType="begin"/>
          </w:r>
          <w:r w:rsidRPr="002C541C">
            <w:rPr>
              <w:rFonts w:ascii="Calibri" w:hAnsi="Calibri" w:cs="Calibri"/>
            </w:rPr>
            <w:instrText xml:space="preserve"> TOC \o "1-3" \h \z \u </w:instrText>
          </w:r>
          <w:r w:rsidRPr="002C541C">
            <w:rPr>
              <w:rFonts w:ascii="Calibri" w:hAnsi="Calibri" w:cs="Calibri"/>
              <w:b w:val="0"/>
              <w:bCs w:val="0"/>
            </w:rPr>
            <w:fldChar w:fldCharType="separate"/>
          </w:r>
          <w:hyperlink w:anchor="_Toc201040295" w:history="1">
            <w:r w:rsidRPr="003808B1">
              <w:rPr>
                <w:rStyle w:val="Hyperlink"/>
                <w:rFonts w:ascii="Calibri" w:hAnsi="Calibri" w:cs="Calibri"/>
                <w:noProof/>
              </w:rPr>
              <w:t>Topic 1: The IND-to-BLA Gauntlet: How to De-Risk Your Bioanalytical Strategy and Accelerate Your Timeline</w:t>
            </w:r>
            <w:r>
              <w:rPr>
                <w:noProof/>
                <w:webHidden/>
              </w:rPr>
              <w:tab/>
            </w:r>
            <w:r>
              <w:rPr>
                <w:noProof/>
                <w:webHidden/>
              </w:rPr>
              <w:fldChar w:fldCharType="begin"/>
            </w:r>
            <w:r>
              <w:rPr>
                <w:noProof/>
                <w:webHidden/>
              </w:rPr>
              <w:instrText xml:space="preserve"> PAGEREF _Toc201040295 \h </w:instrText>
            </w:r>
            <w:r>
              <w:rPr>
                <w:noProof/>
                <w:webHidden/>
              </w:rPr>
            </w:r>
            <w:r>
              <w:rPr>
                <w:noProof/>
                <w:webHidden/>
              </w:rPr>
              <w:fldChar w:fldCharType="separate"/>
            </w:r>
            <w:r>
              <w:rPr>
                <w:noProof/>
                <w:webHidden/>
              </w:rPr>
              <w:t>2</w:t>
            </w:r>
            <w:r>
              <w:rPr>
                <w:noProof/>
                <w:webHidden/>
              </w:rPr>
              <w:fldChar w:fldCharType="end"/>
            </w:r>
          </w:hyperlink>
        </w:p>
        <w:p w14:paraId="76169C88" w14:textId="0386469C" w:rsidR="002C541C" w:rsidRDefault="002C541C">
          <w:pPr>
            <w:pStyle w:val="TOC1"/>
            <w:tabs>
              <w:tab w:val="right" w:leader="dot" w:pos="8630"/>
            </w:tabs>
            <w:rPr>
              <w:rFonts w:eastAsiaTheme="minorEastAsia"/>
              <w:b w:val="0"/>
              <w:bCs w:val="0"/>
              <w:i w:val="0"/>
              <w:iCs w:val="0"/>
              <w:noProof/>
              <w:kern w:val="2"/>
              <w14:ligatures w14:val="standardContextual"/>
            </w:rPr>
          </w:pPr>
          <w:hyperlink w:anchor="_Toc201040296" w:history="1">
            <w:r w:rsidRPr="003808B1">
              <w:rPr>
                <w:rStyle w:val="Hyperlink"/>
                <w:rFonts w:ascii="Calibri" w:hAnsi="Calibri" w:cs="Calibri"/>
                <w:noProof/>
              </w:rPr>
              <w:t>Topic 2: Beyond the Beaker: The Power of 'Science That Thinks With You' in Solving Novel Bioanalytical Puzzles</w:t>
            </w:r>
            <w:r>
              <w:rPr>
                <w:noProof/>
                <w:webHidden/>
              </w:rPr>
              <w:tab/>
            </w:r>
            <w:r>
              <w:rPr>
                <w:noProof/>
                <w:webHidden/>
              </w:rPr>
              <w:fldChar w:fldCharType="begin"/>
            </w:r>
            <w:r>
              <w:rPr>
                <w:noProof/>
                <w:webHidden/>
              </w:rPr>
              <w:instrText xml:space="preserve"> PAGEREF _Toc201040296 \h </w:instrText>
            </w:r>
            <w:r>
              <w:rPr>
                <w:noProof/>
                <w:webHidden/>
              </w:rPr>
            </w:r>
            <w:r>
              <w:rPr>
                <w:noProof/>
                <w:webHidden/>
              </w:rPr>
              <w:fldChar w:fldCharType="separate"/>
            </w:r>
            <w:r>
              <w:rPr>
                <w:noProof/>
                <w:webHidden/>
              </w:rPr>
              <w:t>3</w:t>
            </w:r>
            <w:r>
              <w:rPr>
                <w:noProof/>
                <w:webHidden/>
              </w:rPr>
              <w:fldChar w:fldCharType="end"/>
            </w:r>
          </w:hyperlink>
        </w:p>
        <w:p w14:paraId="5C7FFF39" w14:textId="72FE74F0" w:rsidR="002C541C" w:rsidRDefault="002C541C">
          <w:pPr>
            <w:pStyle w:val="TOC1"/>
            <w:tabs>
              <w:tab w:val="right" w:leader="dot" w:pos="8630"/>
            </w:tabs>
            <w:rPr>
              <w:rFonts w:eastAsiaTheme="minorEastAsia"/>
              <w:b w:val="0"/>
              <w:bCs w:val="0"/>
              <w:i w:val="0"/>
              <w:iCs w:val="0"/>
              <w:noProof/>
              <w:kern w:val="2"/>
              <w14:ligatures w14:val="standardContextual"/>
            </w:rPr>
          </w:pPr>
          <w:hyperlink w:anchor="_Toc201040297" w:history="1">
            <w:r w:rsidRPr="003808B1">
              <w:rPr>
                <w:rStyle w:val="Hyperlink"/>
                <w:rFonts w:ascii="Calibri" w:hAnsi="Calibri" w:cs="Calibri"/>
                <w:noProof/>
              </w:rPr>
              <w:t>Topic 3: The Assay IS the Answer: Mastering Cell-Based Potency Assays for Immuno-Oncology Success</w:t>
            </w:r>
            <w:r>
              <w:rPr>
                <w:noProof/>
                <w:webHidden/>
              </w:rPr>
              <w:tab/>
            </w:r>
            <w:r>
              <w:rPr>
                <w:noProof/>
                <w:webHidden/>
              </w:rPr>
              <w:fldChar w:fldCharType="begin"/>
            </w:r>
            <w:r>
              <w:rPr>
                <w:noProof/>
                <w:webHidden/>
              </w:rPr>
              <w:instrText xml:space="preserve"> PAGEREF _Toc201040297 \h </w:instrText>
            </w:r>
            <w:r>
              <w:rPr>
                <w:noProof/>
                <w:webHidden/>
              </w:rPr>
            </w:r>
            <w:r>
              <w:rPr>
                <w:noProof/>
                <w:webHidden/>
              </w:rPr>
              <w:fldChar w:fldCharType="separate"/>
            </w:r>
            <w:r>
              <w:rPr>
                <w:noProof/>
                <w:webHidden/>
              </w:rPr>
              <w:t>4</w:t>
            </w:r>
            <w:r>
              <w:rPr>
                <w:noProof/>
                <w:webHidden/>
              </w:rPr>
              <w:fldChar w:fldCharType="end"/>
            </w:r>
          </w:hyperlink>
        </w:p>
        <w:p w14:paraId="356F0440" w14:textId="716723CC" w:rsidR="002C541C" w:rsidRDefault="002C541C">
          <w:pPr>
            <w:pStyle w:val="TOC1"/>
            <w:tabs>
              <w:tab w:val="right" w:leader="dot" w:pos="8630"/>
            </w:tabs>
            <w:rPr>
              <w:rFonts w:eastAsiaTheme="minorEastAsia"/>
              <w:b w:val="0"/>
              <w:bCs w:val="0"/>
              <w:i w:val="0"/>
              <w:iCs w:val="0"/>
              <w:noProof/>
              <w:kern w:val="2"/>
              <w14:ligatures w14:val="standardContextual"/>
            </w:rPr>
          </w:pPr>
          <w:hyperlink w:anchor="_Toc201040298" w:history="1">
            <w:r w:rsidRPr="003808B1">
              <w:rPr>
                <w:rStyle w:val="Hyperlink"/>
                <w:rFonts w:ascii="Calibri" w:hAnsi="Calibri" w:cs="Calibri"/>
                <w:noProof/>
              </w:rPr>
              <w:t>Topic 4: From Lab Bench to Global Market: Ensuring Bioanalytical Readiness for International Clinical Trials &amp; Commercialization</w:t>
            </w:r>
            <w:r>
              <w:rPr>
                <w:noProof/>
                <w:webHidden/>
              </w:rPr>
              <w:tab/>
            </w:r>
            <w:r>
              <w:rPr>
                <w:noProof/>
                <w:webHidden/>
              </w:rPr>
              <w:fldChar w:fldCharType="begin"/>
            </w:r>
            <w:r>
              <w:rPr>
                <w:noProof/>
                <w:webHidden/>
              </w:rPr>
              <w:instrText xml:space="preserve"> PAGEREF _Toc201040298 \h </w:instrText>
            </w:r>
            <w:r>
              <w:rPr>
                <w:noProof/>
                <w:webHidden/>
              </w:rPr>
            </w:r>
            <w:r>
              <w:rPr>
                <w:noProof/>
                <w:webHidden/>
              </w:rPr>
              <w:fldChar w:fldCharType="separate"/>
            </w:r>
            <w:r>
              <w:rPr>
                <w:noProof/>
                <w:webHidden/>
              </w:rPr>
              <w:t>5</w:t>
            </w:r>
            <w:r>
              <w:rPr>
                <w:noProof/>
                <w:webHidden/>
              </w:rPr>
              <w:fldChar w:fldCharType="end"/>
            </w:r>
          </w:hyperlink>
        </w:p>
        <w:p w14:paraId="7F02DD38" w14:textId="3C0303E7" w:rsidR="002C541C" w:rsidRDefault="002C541C">
          <w:pPr>
            <w:pStyle w:val="TOC1"/>
            <w:tabs>
              <w:tab w:val="right" w:leader="dot" w:pos="8630"/>
            </w:tabs>
            <w:rPr>
              <w:rFonts w:eastAsiaTheme="minorEastAsia"/>
              <w:b w:val="0"/>
              <w:bCs w:val="0"/>
              <w:i w:val="0"/>
              <w:iCs w:val="0"/>
              <w:noProof/>
              <w:kern w:val="2"/>
              <w14:ligatures w14:val="standardContextual"/>
            </w:rPr>
          </w:pPr>
          <w:hyperlink w:anchor="_Toc201040299" w:history="1">
            <w:r w:rsidRPr="003808B1">
              <w:rPr>
                <w:rStyle w:val="Hyperlink"/>
                <w:rFonts w:ascii="Calibri" w:hAnsi="Calibri" w:cs="Calibri"/>
                <w:noProof/>
              </w:rPr>
              <w:t>Topic 5: The Senior Scientist Advantage: Why Deep Expertise is Non-Negotiable in Your Bioanalytical CRO Partner</w:t>
            </w:r>
            <w:r>
              <w:rPr>
                <w:noProof/>
                <w:webHidden/>
              </w:rPr>
              <w:tab/>
            </w:r>
            <w:r>
              <w:rPr>
                <w:noProof/>
                <w:webHidden/>
              </w:rPr>
              <w:fldChar w:fldCharType="begin"/>
            </w:r>
            <w:r>
              <w:rPr>
                <w:noProof/>
                <w:webHidden/>
              </w:rPr>
              <w:instrText xml:space="preserve"> PAGEREF _Toc201040299 \h </w:instrText>
            </w:r>
            <w:r>
              <w:rPr>
                <w:noProof/>
                <w:webHidden/>
              </w:rPr>
            </w:r>
            <w:r>
              <w:rPr>
                <w:noProof/>
                <w:webHidden/>
              </w:rPr>
              <w:fldChar w:fldCharType="separate"/>
            </w:r>
            <w:r>
              <w:rPr>
                <w:noProof/>
                <w:webHidden/>
              </w:rPr>
              <w:t>6</w:t>
            </w:r>
            <w:r>
              <w:rPr>
                <w:noProof/>
                <w:webHidden/>
              </w:rPr>
              <w:fldChar w:fldCharType="end"/>
            </w:r>
          </w:hyperlink>
        </w:p>
        <w:p w14:paraId="2BEDA29C" w14:textId="184B00D2" w:rsidR="002C541C" w:rsidRDefault="002C541C">
          <w:pPr>
            <w:pStyle w:val="TOC1"/>
            <w:tabs>
              <w:tab w:val="right" w:leader="dot" w:pos="8630"/>
            </w:tabs>
            <w:rPr>
              <w:rFonts w:eastAsiaTheme="minorEastAsia"/>
              <w:b w:val="0"/>
              <w:bCs w:val="0"/>
              <w:i w:val="0"/>
              <w:iCs w:val="0"/>
              <w:noProof/>
              <w:kern w:val="2"/>
              <w14:ligatures w14:val="standardContextual"/>
            </w:rPr>
          </w:pPr>
          <w:hyperlink w:anchor="_Toc201040300" w:history="1">
            <w:r w:rsidRPr="003808B1">
              <w:rPr>
                <w:rStyle w:val="Hyperlink"/>
                <w:rFonts w:ascii="Calibri" w:hAnsi="Calibri" w:cs="Calibri"/>
                <w:noProof/>
              </w:rPr>
              <w:t>Topic 6: Future-Proofing Your Therapeutic: Bioanalytical Strategies for Emerging Modalities and Next-Generation Challenges</w:t>
            </w:r>
            <w:r>
              <w:rPr>
                <w:noProof/>
                <w:webHidden/>
              </w:rPr>
              <w:tab/>
            </w:r>
            <w:r>
              <w:rPr>
                <w:noProof/>
                <w:webHidden/>
              </w:rPr>
              <w:fldChar w:fldCharType="begin"/>
            </w:r>
            <w:r>
              <w:rPr>
                <w:noProof/>
                <w:webHidden/>
              </w:rPr>
              <w:instrText xml:space="preserve"> PAGEREF _Toc201040300 \h </w:instrText>
            </w:r>
            <w:r>
              <w:rPr>
                <w:noProof/>
                <w:webHidden/>
              </w:rPr>
            </w:r>
            <w:r>
              <w:rPr>
                <w:noProof/>
                <w:webHidden/>
              </w:rPr>
              <w:fldChar w:fldCharType="separate"/>
            </w:r>
            <w:r>
              <w:rPr>
                <w:noProof/>
                <w:webHidden/>
              </w:rPr>
              <w:t>7</w:t>
            </w:r>
            <w:r>
              <w:rPr>
                <w:noProof/>
                <w:webHidden/>
              </w:rPr>
              <w:fldChar w:fldCharType="end"/>
            </w:r>
          </w:hyperlink>
        </w:p>
        <w:p w14:paraId="40EC0D09" w14:textId="5683F87D" w:rsidR="002C541C" w:rsidRPr="002C541C" w:rsidRDefault="002C541C">
          <w:pPr>
            <w:rPr>
              <w:rFonts w:cs="Calibri"/>
            </w:rPr>
          </w:pPr>
          <w:r w:rsidRPr="002C541C">
            <w:rPr>
              <w:rFonts w:cs="Calibri"/>
              <w:b/>
              <w:bCs/>
              <w:noProof/>
            </w:rPr>
            <w:fldChar w:fldCharType="end"/>
          </w:r>
        </w:p>
      </w:sdtContent>
    </w:sdt>
    <w:p w14:paraId="0FF48E23" w14:textId="77777777" w:rsidR="002C541C" w:rsidRDefault="002C541C">
      <w:pPr>
        <w:rPr>
          <w:rFonts w:eastAsiaTheme="majorEastAsia" w:cs="Calibri"/>
          <w:b/>
          <w:bCs/>
          <w:color w:val="365F91" w:themeColor="accent1" w:themeShade="BF"/>
          <w:sz w:val="28"/>
          <w:szCs w:val="28"/>
        </w:rPr>
      </w:pPr>
      <w:r>
        <w:rPr>
          <w:rFonts w:cs="Calibri"/>
        </w:rPr>
        <w:br w:type="page"/>
      </w:r>
    </w:p>
    <w:p w14:paraId="50DE8B1E" w14:textId="14760D9A" w:rsidR="002C541C" w:rsidRPr="007D1D70" w:rsidRDefault="002C541C" w:rsidP="007D1D70">
      <w:pPr>
        <w:pStyle w:val="Heading1"/>
      </w:pPr>
      <w:bookmarkStart w:id="0" w:name="_Toc201040295"/>
      <w:r w:rsidRPr="007D1D70">
        <w:lastRenderedPageBreak/>
        <w:t>Topic 1: The IND-to-BLA Gauntlet: How to De-Risk Your Bioanalytical Strategy and Accelerate Your Timeline</w:t>
      </w:r>
      <w:bookmarkEnd w:id="0"/>
    </w:p>
    <w:p w14:paraId="048BE6BA" w14:textId="77777777" w:rsidR="002C541C" w:rsidRPr="002C541C" w:rsidRDefault="002C541C" w:rsidP="002C541C">
      <w:pPr>
        <w:pStyle w:val="NormalWeb"/>
        <w:rPr>
          <w:rFonts w:ascii="Calibri" w:hAnsi="Calibri" w:cs="Calibri"/>
        </w:rPr>
      </w:pPr>
      <w:r w:rsidRPr="002C541C">
        <w:rPr>
          <w:rStyle w:val="Strong"/>
          <w:rFonts w:ascii="Calibri" w:hAnsi="Calibri" w:cs="Calibri"/>
        </w:rPr>
        <w:t>Core Expertise</w:t>
      </w:r>
      <w:r w:rsidRPr="002C541C">
        <w:rPr>
          <w:rFonts w:ascii="Calibri" w:hAnsi="Calibri" w:cs="Calibri"/>
        </w:rPr>
        <w:t xml:space="preserve"> (</w:t>
      </w:r>
      <w:r w:rsidRPr="002C541C">
        <w:rPr>
          <w:rStyle w:val="HTMLCode"/>
          <w:rFonts w:ascii="Calibri" w:eastAsiaTheme="majorEastAsia" w:hAnsi="Calibri" w:cs="Calibri"/>
        </w:rPr>
        <w:t>6-White-Paper-Selecting-Bioanalytical-Assays-FDA-Article.md</w:t>
      </w:r>
      <w:r w:rsidRPr="002C541C">
        <w:rPr>
          <w:rFonts w:ascii="Calibri" w:hAnsi="Calibri" w:cs="Calibri"/>
        </w:rPr>
        <w:t>): This source provides the entire intellectual framework, detailing the 3-stage assay development process (Fit-for-Purpose, Qualified, Validated) crucial for navigating the IND-to-BLA journey.</w:t>
      </w:r>
    </w:p>
    <w:p w14:paraId="061F2578" w14:textId="77777777" w:rsidR="002C541C" w:rsidRPr="002C541C" w:rsidRDefault="002C541C" w:rsidP="002C541C">
      <w:pPr>
        <w:pStyle w:val="NormalWeb"/>
        <w:rPr>
          <w:rFonts w:ascii="Calibri" w:hAnsi="Calibri" w:cs="Calibri"/>
        </w:rPr>
      </w:pPr>
      <w:r w:rsidRPr="002C541C">
        <w:rPr>
          <w:rStyle w:val="Strong"/>
          <w:rFonts w:ascii="Calibri" w:hAnsi="Calibri" w:cs="Calibri"/>
        </w:rPr>
        <w:t>Proven Track Record</w:t>
      </w:r>
      <w:r w:rsidRPr="002C541C">
        <w:rPr>
          <w:rFonts w:ascii="Calibri" w:hAnsi="Calibri" w:cs="Calibri"/>
        </w:rPr>
        <w:t xml:space="preserve"> (</w:t>
      </w:r>
      <w:r w:rsidRPr="002C541C">
        <w:rPr>
          <w:rStyle w:val="HTMLCode"/>
          <w:rFonts w:ascii="Calibri" w:eastAsiaTheme="majorEastAsia" w:hAnsi="Calibri" w:cs="Calibri"/>
        </w:rPr>
        <w:t>1b-Output-Foundational Dataset...</w:t>
      </w:r>
      <w:r w:rsidRPr="002C541C">
        <w:rPr>
          <w:rFonts w:ascii="Calibri" w:hAnsi="Calibri" w:cs="Calibri"/>
        </w:rPr>
        <w:t xml:space="preserve">, </w:t>
      </w:r>
      <w:r w:rsidRPr="002C541C">
        <w:rPr>
          <w:rStyle w:val="HTMLCode"/>
          <w:rFonts w:ascii="Calibri" w:eastAsiaTheme="majorEastAsia" w:hAnsi="Calibri" w:cs="Calibri"/>
        </w:rPr>
        <w:t>7-Press-Release.md</w:t>
      </w:r>
      <w:r w:rsidRPr="002C541C">
        <w:rPr>
          <w:rFonts w:ascii="Calibri" w:hAnsi="Calibri" w:cs="Calibri"/>
        </w:rPr>
        <w:t>): The dataset's "Zero 483s in 2024 FDA inspection" and "Regulatory Integrity" core value, alongside the press release's successful EU audit, demonstrate global compliance capabilities essential for BLA submission. This paper explains the "how."</w:t>
      </w:r>
    </w:p>
    <w:p w14:paraId="73ED3366" w14:textId="77777777" w:rsidR="002C541C" w:rsidRPr="002C541C" w:rsidRDefault="002C541C" w:rsidP="002C541C">
      <w:pPr>
        <w:pStyle w:val="NormalWeb"/>
        <w:rPr>
          <w:rFonts w:ascii="Calibri" w:hAnsi="Calibri" w:cs="Calibri"/>
        </w:rPr>
      </w:pPr>
      <w:r w:rsidRPr="002C541C">
        <w:rPr>
          <w:rStyle w:val="Strong"/>
          <w:rFonts w:ascii="Calibri" w:hAnsi="Calibri" w:cs="Calibri"/>
        </w:rPr>
        <w:t>Historical Foundation</w:t>
      </w:r>
      <w:r w:rsidRPr="002C541C">
        <w:rPr>
          <w:rFonts w:ascii="Calibri" w:hAnsi="Calibri" w:cs="Calibri"/>
        </w:rPr>
        <w:t xml:space="preserve"> (</w:t>
      </w:r>
      <w:r w:rsidRPr="002C541C">
        <w:rPr>
          <w:rStyle w:val="HTMLCode"/>
          <w:rFonts w:ascii="Calibri" w:eastAsiaTheme="majorEastAsia" w:hAnsi="Calibri" w:cs="Calibri"/>
        </w:rPr>
        <w:t xml:space="preserve">3-The </w:t>
      </w:r>
      <w:proofErr w:type="spellStart"/>
      <w:r w:rsidRPr="002C541C">
        <w:rPr>
          <w:rStyle w:val="HTMLCode"/>
          <w:rFonts w:ascii="Calibri" w:eastAsiaTheme="majorEastAsia" w:hAnsi="Calibri" w:cs="Calibri"/>
        </w:rPr>
        <w:t>MarinBio</w:t>
      </w:r>
      <w:proofErr w:type="spellEnd"/>
      <w:r w:rsidRPr="002C541C">
        <w:rPr>
          <w:rStyle w:val="HTMLCode"/>
          <w:rFonts w:ascii="Calibri" w:eastAsiaTheme="majorEastAsia" w:hAnsi="Calibri" w:cs="Calibri"/>
        </w:rPr>
        <w:t xml:space="preserve"> Origin Story.md</w:t>
      </w:r>
      <w:r w:rsidRPr="002C541C">
        <w:rPr>
          <w:rFonts w:ascii="Calibri" w:hAnsi="Calibri" w:cs="Calibri"/>
        </w:rPr>
        <w:t>): Dr. Weiss's pivot to GLP/GMP assay development (1999-2000) underpins 25 years of specialized experience in de-risking regulatory pathways.</w:t>
      </w:r>
    </w:p>
    <w:p w14:paraId="6DD9C2D8" w14:textId="77777777" w:rsidR="002C541C" w:rsidRPr="002C541C" w:rsidRDefault="002C541C" w:rsidP="002C541C">
      <w:pPr>
        <w:pStyle w:val="NormalWeb"/>
        <w:rPr>
          <w:rFonts w:ascii="Calibri" w:hAnsi="Calibri" w:cs="Calibri"/>
        </w:rPr>
      </w:pPr>
      <w:r w:rsidRPr="002C541C">
        <w:rPr>
          <w:rStyle w:val="Strong"/>
          <w:rFonts w:ascii="Calibri" w:hAnsi="Calibri" w:cs="Calibri"/>
        </w:rPr>
        <w:t>Market-Facing Promise</w:t>
      </w:r>
      <w:r w:rsidRPr="002C541C">
        <w:rPr>
          <w:rFonts w:ascii="Calibri" w:hAnsi="Calibri" w:cs="Calibri"/>
        </w:rPr>
        <w:t xml:space="preserve"> (</w:t>
      </w:r>
      <w:r w:rsidRPr="002C541C">
        <w:rPr>
          <w:rStyle w:val="HTMLCode"/>
          <w:rFonts w:ascii="Calibri" w:eastAsiaTheme="majorEastAsia" w:hAnsi="Calibri" w:cs="Calibri"/>
        </w:rPr>
        <w:t>5-MarinBio_Advantage_Six_Reasons.md</w:t>
      </w:r>
      <w:r w:rsidRPr="002C541C">
        <w:rPr>
          <w:rFonts w:ascii="Calibri" w:hAnsi="Calibri" w:cs="Calibri"/>
        </w:rPr>
        <w:t>): Directly supports Reason #1: "Proven Excellence in GMP/GLP Assay Development" and #5 ("Comprehensive, Customizable CRO Services") by covering the full development spectrum.</w:t>
      </w:r>
    </w:p>
    <w:p w14:paraId="5614BCCC" w14:textId="77777777" w:rsidR="002C541C" w:rsidRPr="002C541C" w:rsidRDefault="002C541C" w:rsidP="002C541C">
      <w:pPr>
        <w:pStyle w:val="NormalWeb"/>
        <w:rPr>
          <w:rFonts w:ascii="Calibri" w:hAnsi="Calibri" w:cs="Calibri"/>
        </w:rPr>
      </w:pPr>
      <w:r w:rsidRPr="002C541C">
        <w:rPr>
          <w:rStyle w:val="Strong"/>
          <w:rFonts w:ascii="Calibri" w:hAnsi="Calibri" w:cs="Calibri"/>
        </w:rPr>
        <w:t>Comprehensive Support</w:t>
      </w:r>
      <w:r w:rsidRPr="002C541C">
        <w:rPr>
          <w:rFonts w:ascii="Calibri" w:hAnsi="Calibri" w:cs="Calibri"/>
        </w:rPr>
        <w:t xml:space="preserve"> (</w:t>
      </w:r>
      <w:r w:rsidRPr="002C541C">
        <w:rPr>
          <w:rStyle w:val="HTMLCode"/>
          <w:rFonts w:ascii="Calibri" w:eastAsiaTheme="majorEastAsia" w:hAnsi="Calibri" w:cs="Calibri"/>
        </w:rPr>
        <w:t>1a-Input-Source-Material-Analysis-for-MarinBio.md</w:t>
      </w:r>
      <w:r w:rsidRPr="002C541C">
        <w:rPr>
          <w:rFonts w:ascii="Calibri" w:hAnsi="Calibri" w:cs="Calibri"/>
        </w:rPr>
        <w:t xml:space="preserve">): The source analysis highlights </w:t>
      </w:r>
      <w:proofErr w:type="spellStart"/>
      <w:r w:rsidRPr="002C541C">
        <w:rPr>
          <w:rFonts w:ascii="Calibri" w:hAnsi="Calibri" w:cs="Calibri"/>
        </w:rPr>
        <w:t>MarinBio's</w:t>
      </w:r>
      <w:proofErr w:type="spellEnd"/>
      <w:r w:rsidRPr="002C541C">
        <w:rPr>
          <w:rFonts w:ascii="Calibri" w:hAnsi="Calibri" w:cs="Calibri"/>
        </w:rPr>
        <w:t xml:space="preserve"> "360-degree perspective," crucial for guiding clients through the entire gauntlet from early research to market approval.</w:t>
      </w:r>
    </w:p>
    <w:p w14:paraId="749BC056" w14:textId="77777777" w:rsidR="002C541C" w:rsidRPr="002C541C" w:rsidRDefault="002C541C" w:rsidP="002C541C">
      <w:pPr>
        <w:pStyle w:val="NormalWeb"/>
        <w:rPr>
          <w:rFonts w:ascii="Calibri" w:hAnsi="Calibri" w:cs="Calibri"/>
        </w:rPr>
      </w:pPr>
      <w:r w:rsidRPr="002C541C">
        <w:rPr>
          <w:rStyle w:val="Strong"/>
          <w:rFonts w:ascii="Calibri" w:hAnsi="Calibri" w:cs="Calibri"/>
        </w:rPr>
        <w:t>Strategic Summary:</w:t>
      </w:r>
      <w:r w:rsidRPr="002C541C">
        <w:rPr>
          <w:rFonts w:ascii="Calibri" w:hAnsi="Calibri" w:cs="Calibri"/>
        </w:rPr>
        <w:t xml:space="preserve"> This white paper leverages </w:t>
      </w:r>
      <w:proofErr w:type="spellStart"/>
      <w:r w:rsidRPr="002C541C">
        <w:rPr>
          <w:rFonts w:ascii="Calibri" w:hAnsi="Calibri" w:cs="Calibri"/>
        </w:rPr>
        <w:t>MarinBio's</w:t>
      </w:r>
      <w:proofErr w:type="spellEnd"/>
      <w:r w:rsidRPr="002C541C">
        <w:rPr>
          <w:rFonts w:ascii="Calibri" w:hAnsi="Calibri" w:cs="Calibri"/>
        </w:rPr>
        <w:t xml:space="preserve"> 25-year regulatory expertise and proven zero-deficiency track record to address the most critical pain point in biotech development—successfully navigating the complex regulatory pathway from IND to BLA. It positions </w:t>
      </w:r>
      <w:proofErr w:type="spellStart"/>
      <w:r w:rsidRPr="002C541C">
        <w:rPr>
          <w:rFonts w:ascii="Calibri" w:hAnsi="Calibri" w:cs="Calibri"/>
        </w:rPr>
        <w:t>MarinBio</w:t>
      </w:r>
      <w:proofErr w:type="spellEnd"/>
      <w:r w:rsidRPr="002C541C">
        <w:rPr>
          <w:rFonts w:ascii="Calibri" w:hAnsi="Calibri" w:cs="Calibri"/>
        </w:rPr>
        <w:t xml:space="preserve"> as the essential de-risking partner for companies seeking accelerated, compliant paths to market approval.</w:t>
      </w:r>
    </w:p>
    <w:p w14:paraId="23F947F6" w14:textId="77777777" w:rsidR="002C541C" w:rsidRDefault="002C541C">
      <w:pPr>
        <w:rPr>
          <w:rFonts w:eastAsiaTheme="majorEastAsia" w:cs="Calibri"/>
          <w:b/>
          <w:bCs/>
          <w:color w:val="365F91" w:themeColor="accent1" w:themeShade="BF"/>
          <w:sz w:val="28"/>
          <w:szCs w:val="28"/>
        </w:rPr>
      </w:pPr>
      <w:r>
        <w:rPr>
          <w:rFonts w:cs="Calibri"/>
        </w:rPr>
        <w:br w:type="page"/>
      </w:r>
    </w:p>
    <w:p w14:paraId="162EA878" w14:textId="33FDA03E" w:rsidR="002C541C" w:rsidRPr="002C541C" w:rsidRDefault="002C541C" w:rsidP="007D1D70">
      <w:pPr>
        <w:pStyle w:val="Heading1"/>
      </w:pPr>
      <w:bookmarkStart w:id="1" w:name="_Toc201040296"/>
      <w:r w:rsidRPr="002C541C">
        <w:lastRenderedPageBreak/>
        <w:t xml:space="preserve">Topic 2: Beyond the Beaker: The Power of 'Science That Thinks </w:t>
      </w:r>
      <w:proofErr w:type="gramStart"/>
      <w:r w:rsidRPr="002C541C">
        <w:t>With</w:t>
      </w:r>
      <w:proofErr w:type="gramEnd"/>
      <w:r w:rsidRPr="002C541C">
        <w:t xml:space="preserve"> You' in Solving Novel Bioanalytical Puzzles</w:t>
      </w:r>
      <w:bookmarkEnd w:id="1"/>
    </w:p>
    <w:p w14:paraId="1701B56D" w14:textId="77777777" w:rsidR="002C541C" w:rsidRPr="002C541C" w:rsidRDefault="002C541C" w:rsidP="002C541C">
      <w:pPr>
        <w:pStyle w:val="NormalWeb"/>
        <w:rPr>
          <w:rFonts w:ascii="Calibri" w:hAnsi="Calibri" w:cs="Calibri"/>
        </w:rPr>
      </w:pPr>
      <w:r w:rsidRPr="002C541C">
        <w:rPr>
          <w:rStyle w:val="Strong"/>
          <w:rFonts w:ascii="Calibri" w:hAnsi="Calibri" w:cs="Calibri"/>
        </w:rPr>
        <w:t>Core Value</w:t>
      </w:r>
      <w:r w:rsidRPr="002C541C">
        <w:rPr>
          <w:rFonts w:ascii="Calibri" w:hAnsi="Calibri" w:cs="Calibri"/>
        </w:rPr>
        <w:t xml:space="preserve"> (</w:t>
      </w:r>
      <w:r w:rsidRPr="002C541C">
        <w:rPr>
          <w:rStyle w:val="HTMLCode"/>
          <w:rFonts w:ascii="Calibri" w:eastAsiaTheme="majorEastAsia" w:hAnsi="Calibri" w:cs="Calibri"/>
        </w:rPr>
        <w:t>4-MarinBio-Science-That-Thinks-With-You.md</w:t>
      </w:r>
      <w:r w:rsidRPr="002C541C">
        <w:rPr>
          <w:rFonts w:ascii="Calibri" w:hAnsi="Calibri" w:cs="Calibri"/>
        </w:rPr>
        <w:t xml:space="preserve">): The company tagline and philosophy are central. This paper elaborates on how "Science That Thinks </w:t>
      </w:r>
      <w:proofErr w:type="gramStart"/>
      <w:r w:rsidRPr="002C541C">
        <w:rPr>
          <w:rFonts w:ascii="Calibri" w:hAnsi="Calibri" w:cs="Calibri"/>
        </w:rPr>
        <w:t>With</w:t>
      </w:r>
      <w:proofErr w:type="gramEnd"/>
      <w:r w:rsidRPr="002C541C">
        <w:rPr>
          <w:rFonts w:ascii="Calibri" w:hAnsi="Calibri" w:cs="Calibri"/>
        </w:rPr>
        <w:t xml:space="preserve"> You" translates into tangible benefits for clients with novel modalities (e.g., cell/gene therapies, </w:t>
      </w:r>
      <w:proofErr w:type="spellStart"/>
      <w:r w:rsidRPr="002C541C">
        <w:rPr>
          <w:rFonts w:ascii="Calibri" w:hAnsi="Calibri" w:cs="Calibri"/>
        </w:rPr>
        <w:t>bispecifics</w:t>
      </w:r>
      <w:proofErr w:type="spellEnd"/>
      <w:r w:rsidRPr="002C541C">
        <w:rPr>
          <w:rFonts w:ascii="Calibri" w:hAnsi="Calibri" w:cs="Calibri"/>
        </w:rPr>
        <w:t>).</w:t>
      </w:r>
    </w:p>
    <w:p w14:paraId="3799C20F" w14:textId="77777777" w:rsidR="002C541C" w:rsidRPr="002C541C" w:rsidRDefault="002C541C" w:rsidP="002C541C">
      <w:pPr>
        <w:pStyle w:val="NormalWeb"/>
        <w:rPr>
          <w:rFonts w:ascii="Calibri" w:hAnsi="Calibri" w:cs="Calibri"/>
        </w:rPr>
      </w:pPr>
      <w:r w:rsidRPr="002C541C">
        <w:rPr>
          <w:rStyle w:val="Strong"/>
          <w:rFonts w:ascii="Calibri" w:hAnsi="Calibri" w:cs="Calibri"/>
        </w:rPr>
        <w:t>Founder's Philosophy</w:t>
      </w:r>
      <w:r w:rsidRPr="002C541C">
        <w:rPr>
          <w:rFonts w:ascii="Calibri" w:hAnsi="Calibri" w:cs="Calibri"/>
        </w:rPr>
        <w:t xml:space="preserve"> (</w:t>
      </w:r>
      <w:r w:rsidRPr="002C541C">
        <w:rPr>
          <w:rStyle w:val="HTMLCode"/>
          <w:rFonts w:ascii="Calibri" w:eastAsiaTheme="majorEastAsia" w:hAnsi="Calibri" w:cs="Calibri"/>
        </w:rPr>
        <w:t xml:space="preserve">3-The </w:t>
      </w:r>
      <w:proofErr w:type="spellStart"/>
      <w:r w:rsidRPr="002C541C">
        <w:rPr>
          <w:rStyle w:val="HTMLCode"/>
          <w:rFonts w:ascii="Calibri" w:eastAsiaTheme="majorEastAsia" w:hAnsi="Calibri" w:cs="Calibri"/>
        </w:rPr>
        <w:t>MarinBio</w:t>
      </w:r>
      <w:proofErr w:type="spellEnd"/>
      <w:r w:rsidRPr="002C541C">
        <w:rPr>
          <w:rStyle w:val="HTMLCode"/>
          <w:rFonts w:ascii="Calibri" w:eastAsiaTheme="majorEastAsia" w:hAnsi="Calibri" w:cs="Calibri"/>
        </w:rPr>
        <w:t xml:space="preserve"> Origin Story.md</w:t>
      </w:r>
      <w:r w:rsidRPr="002C541C">
        <w:rPr>
          <w:rFonts w:ascii="Calibri" w:hAnsi="Calibri" w:cs="Calibri"/>
        </w:rPr>
        <w:t>): Dr. Weiss's vision of a more scientific, collaborative CRO model directly addresses the needs of companies developing cutting-edge treatments. Her experience ("every project brings a new scientific challenge") is key.</w:t>
      </w:r>
    </w:p>
    <w:p w14:paraId="20B67A6A" w14:textId="77777777" w:rsidR="002C541C" w:rsidRPr="002C541C" w:rsidRDefault="002C541C" w:rsidP="002C541C">
      <w:pPr>
        <w:pStyle w:val="NormalWeb"/>
        <w:rPr>
          <w:rFonts w:ascii="Calibri" w:hAnsi="Calibri" w:cs="Calibri"/>
        </w:rPr>
      </w:pPr>
      <w:r w:rsidRPr="002C541C">
        <w:rPr>
          <w:rStyle w:val="Strong"/>
          <w:rFonts w:ascii="Calibri" w:hAnsi="Calibri" w:cs="Calibri"/>
        </w:rPr>
        <w:t>Creative Problem-Solving</w:t>
      </w:r>
      <w:r w:rsidRPr="002C541C">
        <w:rPr>
          <w:rFonts w:ascii="Calibri" w:hAnsi="Calibri" w:cs="Calibri"/>
        </w:rPr>
        <w:t xml:space="preserve"> (</w:t>
      </w:r>
      <w:r w:rsidRPr="002C541C">
        <w:rPr>
          <w:rStyle w:val="HTMLCode"/>
          <w:rFonts w:ascii="Calibri" w:eastAsiaTheme="majorEastAsia" w:hAnsi="Calibri" w:cs="Calibri"/>
        </w:rPr>
        <w:t>1a-Input-Source-Material-Analysis-for-MarinBio.md</w:t>
      </w:r>
      <w:r w:rsidRPr="002C541C">
        <w:rPr>
          <w:rFonts w:ascii="Calibri" w:hAnsi="Calibri" w:cs="Calibri"/>
        </w:rPr>
        <w:t xml:space="preserve">, </w:t>
      </w:r>
      <w:r w:rsidRPr="002C541C">
        <w:rPr>
          <w:rStyle w:val="HTMLCode"/>
          <w:rFonts w:ascii="Calibri" w:eastAsiaTheme="majorEastAsia" w:hAnsi="Calibri" w:cs="Calibri"/>
        </w:rPr>
        <w:t>2b-Output-Foundational Dataset...</w:t>
      </w:r>
      <w:r w:rsidRPr="002C541C">
        <w:rPr>
          <w:rFonts w:ascii="Calibri" w:hAnsi="Calibri" w:cs="Calibri"/>
        </w:rPr>
        <w:t>): The analysis notes "custom assay development" and "flexible, tailored solutions." The dataset lists services for "CAR-T," "AAV," and "novel modalities," which inherently require puzzle-solving.</w:t>
      </w:r>
    </w:p>
    <w:p w14:paraId="1382FA7E" w14:textId="77777777" w:rsidR="002C541C" w:rsidRPr="002C541C" w:rsidRDefault="002C541C" w:rsidP="002C541C">
      <w:pPr>
        <w:pStyle w:val="NormalWeb"/>
        <w:rPr>
          <w:rFonts w:ascii="Calibri" w:hAnsi="Calibri" w:cs="Calibri"/>
        </w:rPr>
      </w:pPr>
      <w:r w:rsidRPr="002C541C">
        <w:rPr>
          <w:rStyle w:val="Strong"/>
          <w:rFonts w:ascii="Calibri" w:hAnsi="Calibri" w:cs="Calibri"/>
        </w:rPr>
        <w:t>Market Need</w:t>
      </w:r>
      <w:r w:rsidRPr="002C541C">
        <w:rPr>
          <w:rFonts w:ascii="Calibri" w:hAnsi="Calibri" w:cs="Calibri"/>
        </w:rPr>
        <w:t xml:space="preserve"> (</w:t>
      </w:r>
      <w:r w:rsidRPr="002C541C">
        <w:rPr>
          <w:rStyle w:val="HTMLCode"/>
          <w:rFonts w:ascii="Calibri" w:eastAsiaTheme="majorEastAsia" w:hAnsi="Calibri" w:cs="Calibri"/>
        </w:rPr>
        <w:t>1b-Output-Foundational Dataset...</w:t>
      </w:r>
      <w:r w:rsidRPr="002C541C">
        <w:rPr>
          <w:rFonts w:ascii="Calibri" w:hAnsi="Calibri" w:cs="Calibri"/>
        </w:rPr>
        <w:t xml:space="preserve">): Directly addresses the needs of "virtual </w:t>
      </w:r>
      <w:proofErr w:type="spellStart"/>
      <w:r w:rsidRPr="002C541C">
        <w:rPr>
          <w:rFonts w:ascii="Calibri" w:hAnsi="Calibri" w:cs="Calibri"/>
        </w:rPr>
        <w:t>biotechs</w:t>
      </w:r>
      <w:proofErr w:type="spellEnd"/>
      <w:r w:rsidRPr="002C541C">
        <w:rPr>
          <w:rFonts w:ascii="Calibri" w:hAnsi="Calibri" w:cs="Calibri"/>
        </w:rPr>
        <w:t>" and companies with "complex therapeutic candidates" who require more than just protocol execution.</w:t>
      </w:r>
    </w:p>
    <w:p w14:paraId="22D08047" w14:textId="77777777" w:rsidR="002C541C" w:rsidRPr="002C541C" w:rsidRDefault="002C541C" w:rsidP="002C541C">
      <w:pPr>
        <w:pStyle w:val="NormalWeb"/>
        <w:rPr>
          <w:rFonts w:ascii="Calibri" w:hAnsi="Calibri" w:cs="Calibri"/>
        </w:rPr>
      </w:pPr>
      <w:r w:rsidRPr="002C541C">
        <w:rPr>
          <w:rStyle w:val="Strong"/>
          <w:rFonts w:ascii="Calibri" w:hAnsi="Calibri" w:cs="Calibri"/>
        </w:rPr>
        <w:t>Strategic Summary:</w:t>
      </w:r>
      <w:r w:rsidRPr="002C541C">
        <w:rPr>
          <w:rFonts w:ascii="Calibri" w:hAnsi="Calibri" w:cs="Calibri"/>
        </w:rPr>
        <w:t xml:space="preserve"> This white paper differentiates </w:t>
      </w:r>
      <w:proofErr w:type="spellStart"/>
      <w:r w:rsidRPr="002C541C">
        <w:rPr>
          <w:rFonts w:ascii="Calibri" w:hAnsi="Calibri" w:cs="Calibri"/>
        </w:rPr>
        <w:t>MarinBio</w:t>
      </w:r>
      <w:proofErr w:type="spellEnd"/>
      <w:r w:rsidRPr="002C541C">
        <w:rPr>
          <w:rFonts w:ascii="Calibri" w:hAnsi="Calibri" w:cs="Calibri"/>
        </w:rPr>
        <w:t xml:space="preserve"> from transactional CROs by showcasing the tangible value of collaborative scientific partnership. It targets companies developing novel modalities who need true problem-solving expertise, not just protocol execution, positioning </w:t>
      </w:r>
      <w:proofErr w:type="spellStart"/>
      <w:r w:rsidRPr="002C541C">
        <w:rPr>
          <w:rFonts w:ascii="Calibri" w:hAnsi="Calibri" w:cs="Calibri"/>
        </w:rPr>
        <w:t>MarinBio</w:t>
      </w:r>
      <w:proofErr w:type="spellEnd"/>
      <w:r w:rsidRPr="002C541C">
        <w:rPr>
          <w:rFonts w:ascii="Calibri" w:hAnsi="Calibri" w:cs="Calibri"/>
        </w:rPr>
        <w:t xml:space="preserve"> as the thinking partner that drives innovation forward.</w:t>
      </w:r>
    </w:p>
    <w:p w14:paraId="1B9ABDA6" w14:textId="77777777" w:rsidR="002C541C" w:rsidRDefault="002C541C">
      <w:pPr>
        <w:rPr>
          <w:rFonts w:eastAsiaTheme="majorEastAsia" w:cs="Calibri"/>
          <w:b/>
          <w:bCs/>
          <w:color w:val="365F91" w:themeColor="accent1" w:themeShade="BF"/>
          <w:sz w:val="28"/>
          <w:szCs w:val="28"/>
        </w:rPr>
      </w:pPr>
      <w:r>
        <w:rPr>
          <w:rFonts w:cs="Calibri"/>
        </w:rPr>
        <w:br w:type="page"/>
      </w:r>
    </w:p>
    <w:p w14:paraId="33D5E8BA" w14:textId="2D4A6F40" w:rsidR="002C541C" w:rsidRPr="002C541C" w:rsidRDefault="002C541C" w:rsidP="007D1D70">
      <w:pPr>
        <w:pStyle w:val="Heading1"/>
      </w:pPr>
      <w:bookmarkStart w:id="2" w:name="_Toc201040297"/>
      <w:r w:rsidRPr="002C541C">
        <w:lastRenderedPageBreak/>
        <w:t>Topic 3: The Assay IS the Answer: Mastering Cell-Based Potency Assays for Immuno-Oncology Success</w:t>
      </w:r>
      <w:bookmarkEnd w:id="2"/>
    </w:p>
    <w:p w14:paraId="304E059B" w14:textId="77777777" w:rsidR="002C541C" w:rsidRPr="002C541C" w:rsidRDefault="002C541C" w:rsidP="002C541C">
      <w:pPr>
        <w:pStyle w:val="NormalWeb"/>
        <w:rPr>
          <w:rFonts w:ascii="Calibri" w:hAnsi="Calibri" w:cs="Calibri"/>
        </w:rPr>
      </w:pPr>
      <w:r w:rsidRPr="002C541C">
        <w:rPr>
          <w:rStyle w:val="Strong"/>
          <w:rFonts w:ascii="Calibri" w:hAnsi="Calibri" w:cs="Calibri"/>
        </w:rPr>
        <w:t>Demonstrated Focus</w:t>
      </w:r>
      <w:r w:rsidRPr="002C541C">
        <w:rPr>
          <w:rFonts w:ascii="Calibri" w:hAnsi="Calibri" w:cs="Calibri"/>
        </w:rPr>
        <w:t xml:space="preserve"> (</w:t>
      </w:r>
      <w:r w:rsidRPr="002C541C">
        <w:rPr>
          <w:rStyle w:val="HTMLCode"/>
          <w:rFonts w:ascii="Calibri" w:eastAsiaTheme="majorEastAsia" w:hAnsi="Calibri" w:cs="Calibri"/>
        </w:rPr>
        <w:t>8-Blog_Synthesis_and_Links.md</w:t>
      </w:r>
      <w:r w:rsidRPr="002C541C">
        <w:rPr>
          <w:rFonts w:ascii="Calibri" w:hAnsi="Calibri" w:cs="Calibri"/>
        </w:rPr>
        <w:t>): The blog synthesis identifies "Focus on Immuno-Oncology" and a specific T-cell assay article. This white paper provides greater depth for a senior scientific audience.</w:t>
      </w:r>
    </w:p>
    <w:p w14:paraId="3C39E393" w14:textId="77777777" w:rsidR="002C541C" w:rsidRPr="002C541C" w:rsidRDefault="002C541C" w:rsidP="002C541C">
      <w:pPr>
        <w:pStyle w:val="NormalWeb"/>
        <w:rPr>
          <w:rFonts w:ascii="Calibri" w:hAnsi="Calibri" w:cs="Calibri"/>
        </w:rPr>
      </w:pPr>
      <w:r w:rsidRPr="002C541C">
        <w:rPr>
          <w:rStyle w:val="Strong"/>
          <w:rFonts w:ascii="Calibri" w:hAnsi="Calibri" w:cs="Calibri"/>
        </w:rPr>
        <w:t>Technical Capability</w:t>
      </w:r>
      <w:r w:rsidRPr="002C541C">
        <w:rPr>
          <w:rFonts w:ascii="Calibri" w:hAnsi="Calibri" w:cs="Calibri"/>
        </w:rPr>
        <w:t xml:space="preserve"> (</w:t>
      </w:r>
      <w:r w:rsidRPr="002C541C">
        <w:rPr>
          <w:rStyle w:val="HTMLCode"/>
          <w:rFonts w:ascii="Calibri" w:eastAsiaTheme="majorEastAsia" w:hAnsi="Calibri" w:cs="Calibri"/>
        </w:rPr>
        <w:t>2b-Output-Foundational Dataset...</w:t>
      </w:r>
      <w:r w:rsidRPr="002C541C">
        <w:rPr>
          <w:rFonts w:ascii="Calibri" w:hAnsi="Calibri" w:cs="Calibri"/>
        </w:rPr>
        <w:t>): Lists "CAR-T and cell therapy potency assays," "Cellular immunoassays," "T-cell biology," "cytotoxicity, activation, and proliferation assays" as core offerings, directly relevant to I-O.</w:t>
      </w:r>
    </w:p>
    <w:p w14:paraId="13DC5732" w14:textId="77777777" w:rsidR="002C541C" w:rsidRPr="002C541C" w:rsidRDefault="002C541C" w:rsidP="002C541C">
      <w:pPr>
        <w:pStyle w:val="NormalWeb"/>
        <w:rPr>
          <w:rFonts w:ascii="Calibri" w:hAnsi="Calibri" w:cs="Calibri"/>
        </w:rPr>
      </w:pPr>
      <w:r w:rsidRPr="002C541C">
        <w:rPr>
          <w:rStyle w:val="Strong"/>
          <w:rFonts w:ascii="Calibri" w:hAnsi="Calibri" w:cs="Calibri"/>
        </w:rPr>
        <w:t>Innovation Mandate</w:t>
      </w:r>
      <w:r w:rsidRPr="002C541C">
        <w:rPr>
          <w:rFonts w:ascii="Calibri" w:hAnsi="Calibri" w:cs="Calibri"/>
        </w:rPr>
        <w:t xml:space="preserve"> (</w:t>
      </w:r>
      <w:r w:rsidRPr="002C541C">
        <w:rPr>
          <w:rStyle w:val="HTMLCode"/>
          <w:rFonts w:ascii="Calibri" w:eastAsiaTheme="majorEastAsia" w:hAnsi="Calibri" w:cs="Calibri"/>
        </w:rPr>
        <w:t xml:space="preserve">3-The </w:t>
      </w:r>
      <w:proofErr w:type="spellStart"/>
      <w:r w:rsidRPr="002C541C">
        <w:rPr>
          <w:rStyle w:val="HTMLCode"/>
          <w:rFonts w:ascii="Calibri" w:eastAsiaTheme="majorEastAsia" w:hAnsi="Calibri" w:cs="Calibri"/>
        </w:rPr>
        <w:t>MarinBio</w:t>
      </w:r>
      <w:proofErr w:type="spellEnd"/>
      <w:r w:rsidRPr="002C541C">
        <w:rPr>
          <w:rStyle w:val="HTMLCode"/>
          <w:rFonts w:ascii="Calibri" w:eastAsiaTheme="majorEastAsia" w:hAnsi="Calibri" w:cs="Calibri"/>
        </w:rPr>
        <w:t xml:space="preserve"> Origin Story.md</w:t>
      </w:r>
      <w:r w:rsidRPr="002C541C">
        <w:rPr>
          <w:rFonts w:ascii="Calibri" w:hAnsi="Calibri" w:cs="Calibri"/>
        </w:rPr>
        <w:t>): Dr. Weiss's commitment to the "leading edge" through challenging projects aligns with the innovative nature of I-O research.</w:t>
      </w:r>
    </w:p>
    <w:p w14:paraId="0709D602" w14:textId="77777777" w:rsidR="002C541C" w:rsidRPr="002C541C" w:rsidRDefault="002C541C" w:rsidP="002C541C">
      <w:pPr>
        <w:pStyle w:val="NormalWeb"/>
        <w:rPr>
          <w:rFonts w:ascii="Calibri" w:hAnsi="Calibri" w:cs="Calibri"/>
        </w:rPr>
      </w:pPr>
      <w:r w:rsidRPr="002C541C">
        <w:rPr>
          <w:rStyle w:val="Strong"/>
          <w:rFonts w:ascii="Calibri" w:hAnsi="Calibri" w:cs="Calibri"/>
        </w:rPr>
        <w:t>Addressing Client Needs</w:t>
      </w:r>
      <w:r w:rsidRPr="002C541C">
        <w:rPr>
          <w:rFonts w:ascii="Calibri" w:hAnsi="Calibri" w:cs="Calibri"/>
        </w:rPr>
        <w:t xml:space="preserve"> (</w:t>
      </w:r>
      <w:r w:rsidRPr="002C541C">
        <w:rPr>
          <w:rStyle w:val="HTMLCode"/>
          <w:rFonts w:ascii="Calibri" w:eastAsiaTheme="majorEastAsia" w:hAnsi="Calibri" w:cs="Calibri"/>
        </w:rPr>
        <w:t>1a-Input-Source-Material-Analysis-for-MarinBio.md</w:t>
      </w:r>
      <w:r w:rsidRPr="002C541C">
        <w:rPr>
          <w:rFonts w:ascii="Calibri" w:hAnsi="Calibri" w:cs="Calibri"/>
        </w:rPr>
        <w:t>): I-O is a major area of investment for biopharma; this paper targets a key pain point: reliable and regulatory-compliant potency assays.</w:t>
      </w:r>
    </w:p>
    <w:p w14:paraId="1F63D116" w14:textId="77777777" w:rsidR="002C541C" w:rsidRPr="002C541C" w:rsidRDefault="002C541C" w:rsidP="002C541C">
      <w:pPr>
        <w:pStyle w:val="NormalWeb"/>
        <w:rPr>
          <w:rFonts w:ascii="Calibri" w:hAnsi="Calibri" w:cs="Calibri"/>
        </w:rPr>
      </w:pPr>
      <w:r w:rsidRPr="002C541C">
        <w:rPr>
          <w:rStyle w:val="Strong"/>
          <w:rFonts w:ascii="Calibri" w:hAnsi="Calibri" w:cs="Calibri"/>
        </w:rPr>
        <w:t>Strategic Summary:</w:t>
      </w:r>
      <w:r w:rsidRPr="002C541C">
        <w:rPr>
          <w:rFonts w:ascii="Calibri" w:hAnsi="Calibri" w:cs="Calibri"/>
        </w:rPr>
        <w:t xml:space="preserve"> This white paper positions </w:t>
      </w:r>
      <w:proofErr w:type="spellStart"/>
      <w:r w:rsidRPr="002C541C">
        <w:rPr>
          <w:rFonts w:ascii="Calibri" w:hAnsi="Calibri" w:cs="Calibri"/>
        </w:rPr>
        <w:t>MarinBio</w:t>
      </w:r>
      <w:proofErr w:type="spellEnd"/>
      <w:r w:rsidRPr="002C541C">
        <w:rPr>
          <w:rFonts w:ascii="Calibri" w:hAnsi="Calibri" w:cs="Calibri"/>
        </w:rPr>
        <w:t xml:space="preserve"> as the go-to expert in the high-growth, high-stakes immuno-oncology market. By focusing on the critical challenge of cell-based potency assays, it demonstrates </w:t>
      </w:r>
      <w:proofErr w:type="spellStart"/>
      <w:r w:rsidRPr="002C541C">
        <w:rPr>
          <w:rFonts w:ascii="Calibri" w:hAnsi="Calibri" w:cs="Calibri"/>
        </w:rPr>
        <w:t>MarinBio's</w:t>
      </w:r>
      <w:proofErr w:type="spellEnd"/>
      <w:r w:rsidRPr="002C541C">
        <w:rPr>
          <w:rFonts w:ascii="Calibri" w:hAnsi="Calibri" w:cs="Calibri"/>
        </w:rPr>
        <w:t xml:space="preserve"> specialized technical capabilities in an area where precision and regulatory compliance can make or break billion-dollar therapeutic programs.</w:t>
      </w:r>
    </w:p>
    <w:p w14:paraId="799EEB55" w14:textId="77777777" w:rsidR="002C541C" w:rsidRDefault="002C541C">
      <w:pPr>
        <w:rPr>
          <w:rFonts w:eastAsiaTheme="majorEastAsia" w:cs="Calibri"/>
          <w:b/>
          <w:bCs/>
          <w:color w:val="365F91" w:themeColor="accent1" w:themeShade="BF"/>
          <w:sz w:val="28"/>
          <w:szCs w:val="28"/>
        </w:rPr>
      </w:pPr>
      <w:r>
        <w:rPr>
          <w:rFonts w:cs="Calibri"/>
        </w:rPr>
        <w:br w:type="page"/>
      </w:r>
    </w:p>
    <w:p w14:paraId="535901F9" w14:textId="1A6A4327" w:rsidR="002C541C" w:rsidRPr="002C541C" w:rsidRDefault="002C541C" w:rsidP="007D1D70">
      <w:pPr>
        <w:pStyle w:val="Heading1"/>
      </w:pPr>
      <w:bookmarkStart w:id="3" w:name="_Toc201040298"/>
      <w:r w:rsidRPr="002C541C">
        <w:lastRenderedPageBreak/>
        <w:t>Topic 4: From Lab Bench to Global Market: Ensuring Bioanalytical Readiness for International Clinical Trials &amp; Commercialization</w:t>
      </w:r>
      <w:bookmarkEnd w:id="3"/>
    </w:p>
    <w:p w14:paraId="18AD8427" w14:textId="77777777" w:rsidR="002C541C" w:rsidRPr="002C541C" w:rsidRDefault="002C541C" w:rsidP="002C541C">
      <w:pPr>
        <w:pStyle w:val="NormalWeb"/>
        <w:rPr>
          <w:rFonts w:ascii="Calibri" w:hAnsi="Calibri" w:cs="Calibri"/>
        </w:rPr>
      </w:pPr>
      <w:r w:rsidRPr="002C541C">
        <w:rPr>
          <w:rStyle w:val="Strong"/>
          <w:rFonts w:ascii="Calibri" w:hAnsi="Calibri" w:cs="Calibri"/>
        </w:rPr>
        <w:t>Proven Global Compliance</w:t>
      </w:r>
      <w:r w:rsidRPr="002C541C">
        <w:rPr>
          <w:rFonts w:ascii="Calibri" w:hAnsi="Calibri" w:cs="Calibri"/>
        </w:rPr>
        <w:t xml:space="preserve"> (</w:t>
      </w:r>
      <w:r w:rsidRPr="002C541C">
        <w:rPr>
          <w:rStyle w:val="HTMLCode"/>
          <w:rFonts w:ascii="Calibri" w:eastAsiaTheme="majorEastAsia" w:hAnsi="Calibri" w:cs="Calibri"/>
        </w:rPr>
        <w:t>7-Press-Release.md</w:t>
      </w:r>
      <w:r w:rsidRPr="002C541C">
        <w:rPr>
          <w:rFonts w:ascii="Calibri" w:hAnsi="Calibri" w:cs="Calibri"/>
        </w:rPr>
        <w:t xml:space="preserve">, </w:t>
      </w:r>
      <w:r w:rsidRPr="002C541C">
        <w:rPr>
          <w:rStyle w:val="HTMLCode"/>
          <w:rFonts w:ascii="Calibri" w:eastAsiaTheme="majorEastAsia" w:hAnsi="Calibri" w:cs="Calibri"/>
        </w:rPr>
        <w:t>1b-Output-Foundational Dataset...</w:t>
      </w:r>
      <w:r w:rsidRPr="002C541C">
        <w:rPr>
          <w:rFonts w:ascii="Calibri" w:hAnsi="Calibri" w:cs="Calibri"/>
        </w:rPr>
        <w:t>): The successful EU regulatory audit is prime evidence. "Regulatory Integrity" and experience with ICH guidelines are critical for global programs.</w:t>
      </w:r>
    </w:p>
    <w:p w14:paraId="53B385B6" w14:textId="77777777" w:rsidR="002C541C" w:rsidRPr="002C541C" w:rsidRDefault="002C541C" w:rsidP="002C541C">
      <w:pPr>
        <w:pStyle w:val="NormalWeb"/>
        <w:rPr>
          <w:rFonts w:ascii="Calibri" w:hAnsi="Calibri" w:cs="Calibri"/>
        </w:rPr>
      </w:pPr>
      <w:r w:rsidRPr="002C541C">
        <w:rPr>
          <w:rStyle w:val="Strong"/>
          <w:rFonts w:ascii="Calibri" w:hAnsi="Calibri" w:cs="Calibri"/>
        </w:rPr>
        <w:t>Comprehensive Services</w:t>
      </w:r>
      <w:r w:rsidRPr="002C541C">
        <w:rPr>
          <w:rFonts w:ascii="Calibri" w:hAnsi="Calibri" w:cs="Calibri"/>
        </w:rPr>
        <w:t xml:space="preserve"> (</w:t>
      </w:r>
      <w:r w:rsidRPr="002C541C">
        <w:rPr>
          <w:rStyle w:val="HTMLCode"/>
          <w:rFonts w:ascii="Calibri" w:eastAsiaTheme="majorEastAsia" w:hAnsi="Calibri" w:cs="Calibri"/>
        </w:rPr>
        <w:t>5-MarinBio_Advantage_Six_Reasons.md</w:t>
      </w:r>
      <w:r w:rsidRPr="002C541C">
        <w:rPr>
          <w:rFonts w:ascii="Calibri" w:hAnsi="Calibri" w:cs="Calibri"/>
        </w:rPr>
        <w:t>): Reason #5 ("Comprehensive, Customizable CRO Services") implies the capability to support clients from early local trials to global commercialization.</w:t>
      </w:r>
    </w:p>
    <w:p w14:paraId="291D8424" w14:textId="77777777" w:rsidR="002C541C" w:rsidRPr="002C541C" w:rsidRDefault="002C541C" w:rsidP="002C541C">
      <w:pPr>
        <w:pStyle w:val="NormalWeb"/>
        <w:rPr>
          <w:rFonts w:ascii="Calibri" w:hAnsi="Calibri" w:cs="Calibri"/>
        </w:rPr>
      </w:pPr>
      <w:r w:rsidRPr="002C541C">
        <w:rPr>
          <w:rStyle w:val="Strong"/>
          <w:rFonts w:ascii="Calibri" w:hAnsi="Calibri" w:cs="Calibri"/>
        </w:rPr>
        <w:t>Regulatory Expertise</w:t>
      </w:r>
      <w:r w:rsidRPr="002C541C">
        <w:rPr>
          <w:rFonts w:ascii="Calibri" w:hAnsi="Calibri" w:cs="Calibri"/>
        </w:rPr>
        <w:t xml:space="preserve"> (</w:t>
      </w:r>
      <w:r w:rsidRPr="002C541C">
        <w:rPr>
          <w:rStyle w:val="HTMLCode"/>
          <w:rFonts w:ascii="Calibri" w:eastAsiaTheme="majorEastAsia" w:hAnsi="Calibri" w:cs="Calibri"/>
        </w:rPr>
        <w:t>6-White-Paper-Selecting-Bioanalytical-Assays-FDA-Article.md</w:t>
      </w:r>
      <w:r w:rsidRPr="002C541C">
        <w:rPr>
          <w:rFonts w:ascii="Calibri" w:hAnsi="Calibri" w:cs="Calibri"/>
        </w:rPr>
        <w:t>): While focused on FDA, the principles of robust assay development and validation are internationally applicable and form the basis for global harmonization.</w:t>
      </w:r>
    </w:p>
    <w:p w14:paraId="6C631791" w14:textId="77777777" w:rsidR="002C541C" w:rsidRPr="002C541C" w:rsidRDefault="002C541C" w:rsidP="002C541C">
      <w:pPr>
        <w:pStyle w:val="NormalWeb"/>
        <w:rPr>
          <w:rFonts w:ascii="Calibri" w:hAnsi="Calibri" w:cs="Calibri"/>
        </w:rPr>
      </w:pPr>
      <w:r w:rsidRPr="002C541C">
        <w:rPr>
          <w:rStyle w:val="Strong"/>
          <w:rFonts w:ascii="Calibri" w:hAnsi="Calibri" w:cs="Calibri"/>
        </w:rPr>
        <w:t>Addressing Complexity</w:t>
      </w:r>
      <w:r w:rsidRPr="002C541C">
        <w:rPr>
          <w:rFonts w:ascii="Calibri" w:hAnsi="Calibri" w:cs="Calibri"/>
        </w:rPr>
        <w:t xml:space="preserve"> (</w:t>
      </w:r>
      <w:r w:rsidRPr="002C541C">
        <w:rPr>
          <w:rStyle w:val="HTMLCode"/>
          <w:rFonts w:ascii="Calibri" w:eastAsiaTheme="majorEastAsia" w:hAnsi="Calibri" w:cs="Calibri"/>
        </w:rPr>
        <w:t>1a-Input-Source-Material-Analysis-for-MarinBio.md</w:t>
      </w:r>
      <w:r w:rsidRPr="002C541C">
        <w:rPr>
          <w:rFonts w:ascii="Calibri" w:hAnsi="Calibri" w:cs="Calibri"/>
        </w:rPr>
        <w:t xml:space="preserve">): International trials add layers of complexity; </w:t>
      </w:r>
      <w:proofErr w:type="spellStart"/>
      <w:r w:rsidRPr="002C541C">
        <w:rPr>
          <w:rFonts w:ascii="Calibri" w:hAnsi="Calibri" w:cs="Calibri"/>
        </w:rPr>
        <w:t>MarinBio's</w:t>
      </w:r>
      <w:proofErr w:type="spellEnd"/>
      <w:r w:rsidRPr="002C541C">
        <w:rPr>
          <w:rFonts w:ascii="Calibri" w:hAnsi="Calibri" w:cs="Calibri"/>
        </w:rPr>
        <w:t xml:space="preserve"> "360-degree perspective" and problem-solving skills are essential here.</w:t>
      </w:r>
    </w:p>
    <w:p w14:paraId="308C0240" w14:textId="77777777" w:rsidR="002C541C" w:rsidRPr="002C541C" w:rsidRDefault="002C541C" w:rsidP="002C541C">
      <w:pPr>
        <w:pStyle w:val="NormalWeb"/>
        <w:rPr>
          <w:rFonts w:ascii="Calibri" w:hAnsi="Calibri" w:cs="Calibri"/>
        </w:rPr>
      </w:pPr>
      <w:r w:rsidRPr="002C541C">
        <w:rPr>
          <w:rStyle w:val="Strong"/>
          <w:rFonts w:ascii="Calibri" w:hAnsi="Calibri" w:cs="Calibri"/>
        </w:rPr>
        <w:t>Strategic Summary:</w:t>
      </w:r>
      <w:r w:rsidRPr="002C541C">
        <w:rPr>
          <w:rFonts w:ascii="Calibri" w:hAnsi="Calibri" w:cs="Calibri"/>
        </w:rPr>
        <w:t xml:space="preserve"> This white paper addresses the increasingly global nature of clinical development, positioning </w:t>
      </w:r>
      <w:proofErr w:type="spellStart"/>
      <w:r w:rsidRPr="002C541C">
        <w:rPr>
          <w:rFonts w:ascii="Calibri" w:hAnsi="Calibri" w:cs="Calibri"/>
        </w:rPr>
        <w:t>MarinBio</w:t>
      </w:r>
      <w:proofErr w:type="spellEnd"/>
      <w:r w:rsidRPr="002C541C">
        <w:rPr>
          <w:rFonts w:ascii="Calibri" w:hAnsi="Calibri" w:cs="Calibri"/>
        </w:rPr>
        <w:t xml:space="preserve"> as the partner that can seamlessly navigate international regulatory landscapes. It targets companies planning global commercialization strategies and emphasizes </w:t>
      </w:r>
      <w:proofErr w:type="spellStart"/>
      <w:r w:rsidRPr="002C541C">
        <w:rPr>
          <w:rFonts w:ascii="Calibri" w:hAnsi="Calibri" w:cs="Calibri"/>
        </w:rPr>
        <w:t>MarinBio's</w:t>
      </w:r>
      <w:proofErr w:type="spellEnd"/>
      <w:r w:rsidRPr="002C541C">
        <w:rPr>
          <w:rFonts w:ascii="Calibri" w:hAnsi="Calibri" w:cs="Calibri"/>
        </w:rPr>
        <w:t xml:space="preserve"> proven capability to ensure bioanalytical readiness across diverse regulatory environments.</w:t>
      </w:r>
    </w:p>
    <w:p w14:paraId="6AEB4CBD" w14:textId="77777777" w:rsidR="002C541C" w:rsidRDefault="002C541C">
      <w:pPr>
        <w:rPr>
          <w:rFonts w:eastAsiaTheme="majorEastAsia" w:cs="Calibri"/>
          <w:b/>
          <w:bCs/>
          <w:color w:val="365F91" w:themeColor="accent1" w:themeShade="BF"/>
          <w:sz w:val="28"/>
          <w:szCs w:val="28"/>
        </w:rPr>
      </w:pPr>
      <w:r>
        <w:rPr>
          <w:rFonts w:cs="Calibri"/>
        </w:rPr>
        <w:br w:type="page"/>
      </w:r>
    </w:p>
    <w:p w14:paraId="063F0C5F" w14:textId="60B7169C" w:rsidR="002C541C" w:rsidRPr="002C541C" w:rsidRDefault="002C541C" w:rsidP="007D1D70">
      <w:pPr>
        <w:pStyle w:val="Heading1"/>
      </w:pPr>
      <w:bookmarkStart w:id="4" w:name="_Toc201040299"/>
      <w:r w:rsidRPr="002C541C">
        <w:lastRenderedPageBreak/>
        <w:t>Topic 5: The Senior Scientist Advantage: Why Deep Expertise is Non-Negotiable in Your Bioanalytical CRO Partner</w:t>
      </w:r>
      <w:bookmarkEnd w:id="4"/>
    </w:p>
    <w:p w14:paraId="3BCA580D" w14:textId="77777777" w:rsidR="002C541C" w:rsidRPr="002C541C" w:rsidRDefault="002C541C" w:rsidP="002C541C">
      <w:pPr>
        <w:pStyle w:val="NormalWeb"/>
        <w:rPr>
          <w:rFonts w:ascii="Calibri" w:hAnsi="Calibri" w:cs="Calibri"/>
        </w:rPr>
      </w:pPr>
      <w:r w:rsidRPr="002C541C">
        <w:rPr>
          <w:rStyle w:val="Strong"/>
          <w:rFonts w:ascii="Calibri" w:hAnsi="Calibri" w:cs="Calibri"/>
        </w:rPr>
        <w:t>Core Differentiator</w:t>
      </w:r>
      <w:r w:rsidRPr="002C541C">
        <w:rPr>
          <w:rFonts w:ascii="Calibri" w:hAnsi="Calibri" w:cs="Calibri"/>
        </w:rPr>
        <w:t xml:space="preserve"> (</w:t>
      </w:r>
      <w:r w:rsidRPr="002C541C">
        <w:rPr>
          <w:rStyle w:val="HTMLCode"/>
          <w:rFonts w:ascii="Calibri" w:eastAsiaTheme="majorEastAsia" w:hAnsi="Calibri" w:cs="Calibri"/>
        </w:rPr>
        <w:t>5-MarinBio_Advantage_Six_Reasons.md</w:t>
      </w:r>
      <w:r w:rsidRPr="002C541C">
        <w:rPr>
          <w:rFonts w:ascii="Calibri" w:hAnsi="Calibri" w:cs="Calibri"/>
        </w:rPr>
        <w:t xml:space="preserve">): Directly supports Reason #6: "Elite Team of Senior Professionals" and Reason #2: "True Partnership: We Align </w:t>
      </w:r>
      <w:proofErr w:type="gramStart"/>
      <w:r w:rsidRPr="002C541C">
        <w:rPr>
          <w:rFonts w:ascii="Calibri" w:hAnsi="Calibri" w:cs="Calibri"/>
        </w:rPr>
        <w:t>With</w:t>
      </w:r>
      <w:proofErr w:type="gramEnd"/>
      <w:r w:rsidRPr="002C541C">
        <w:rPr>
          <w:rFonts w:ascii="Calibri" w:hAnsi="Calibri" w:cs="Calibri"/>
        </w:rPr>
        <w:t xml:space="preserve"> Your Goals."</w:t>
      </w:r>
    </w:p>
    <w:p w14:paraId="5CA0C5C2" w14:textId="77777777" w:rsidR="002C541C" w:rsidRPr="002C541C" w:rsidRDefault="002C541C" w:rsidP="002C541C">
      <w:pPr>
        <w:pStyle w:val="NormalWeb"/>
        <w:rPr>
          <w:rFonts w:ascii="Calibri" w:hAnsi="Calibri" w:cs="Calibri"/>
        </w:rPr>
      </w:pPr>
      <w:r w:rsidRPr="002C541C">
        <w:rPr>
          <w:rStyle w:val="Strong"/>
          <w:rFonts w:ascii="Calibri" w:hAnsi="Calibri" w:cs="Calibri"/>
        </w:rPr>
        <w:t>Founder's Model</w:t>
      </w:r>
      <w:r w:rsidRPr="002C541C">
        <w:rPr>
          <w:rFonts w:ascii="Calibri" w:hAnsi="Calibri" w:cs="Calibri"/>
        </w:rPr>
        <w:t xml:space="preserve"> (</w:t>
      </w:r>
      <w:r w:rsidRPr="002C541C">
        <w:rPr>
          <w:rStyle w:val="HTMLCode"/>
          <w:rFonts w:ascii="Calibri" w:eastAsiaTheme="majorEastAsia" w:hAnsi="Calibri" w:cs="Calibri"/>
        </w:rPr>
        <w:t xml:space="preserve">3-The </w:t>
      </w:r>
      <w:proofErr w:type="spellStart"/>
      <w:r w:rsidRPr="002C541C">
        <w:rPr>
          <w:rStyle w:val="HTMLCode"/>
          <w:rFonts w:ascii="Calibri" w:eastAsiaTheme="majorEastAsia" w:hAnsi="Calibri" w:cs="Calibri"/>
        </w:rPr>
        <w:t>MarinBio</w:t>
      </w:r>
      <w:proofErr w:type="spellEnd"/>
      <w:r w:rsidRPr="002C541C">
        <w:rPr>
          <w:rStyle w:val="HTMLCode"/>
          <w:rFonts w:ascii="Calibri" w:eastAsiaTheme="majorEastAsia" w:hAnsi="Calibri" w:cs="Calibri"/>
        </w:rPr>
        <w:t xml:space="preserve"> Origin Story.md</w:t>
      </w:r>
      <w:r w:rsidRPr="002C541C">
        <w:rPr>
          <w:rFonts w:ascii="Calibri" w:hAnsi="Calibri" w:cs="Calibri"/>
        </w:rPr>
        <w:t xml:space="preserve">): Dr. Weiss built </w:t>
      </w:r>
      <w:proofErr w:type="spellStart"/>
      <w:r w:rsidRPr="002C541C">
        <w:rPr>
          <w:rFonts w:ascii="Calibri" w:hAnsi="Calibri" w:cs="Calibri"/>
        </w:rPr>
        <w:t>MarinBio</w:t>
      </w:r>
      <w:proofErr w:type="spellEnd"/>
      <w:r w:rsidRPr="002C541C">
        <w:rPr>
          <w:rFonts w:ascii="Calibri" w:hAnsi="Calibri" w:cs="Calibri"/>
        </w:rPr>
        <w:t xml:space="preserve"> on the principle of providing high-level scientific engagement, a direct contrast to models relying heavily on junior staff.</w:t>
      </w:r>
    </w:p>
    <w:p w14:paraId="1ECF97EB" w14:textId="77777777" w:rsidR="002C541C" w:rsidRPr="002C541C" w:rsidRDefault="002C541C" w:rsidP="002C541C">
      <w:pPr>
        <w:pStyle w:val="NormalWeb"/>
        <w:rPr>
          <w:rFonts w:ascii="Calibri" w:hAnsi="Calibri" w:cs="Calibri"/>
        </w:rPr>
      </w:pPr>
      <w:r w:rsidRPr="002C541C">
        <w:rPr>
          <w:rStyle w:val="Strong"/>
          <w:rFonts w:ascii="Calibri" w:hAnsi="Calibri" w:cs="Calibri"/>
        </w:rPr>
        <w:t>Value Proposition</w:t>
      </w:r>
      <w:r w:rsidRPr="002C541C">
        <w:rPr>
          <w:rFonts w:ascii="Calibri" w:hAnsi="Calibri" w:cs="Calibri"/>
        </w:rPr>
        <w:t xml:space="preserve"> (</w:t>
      </w:r>
      <w:r w:rsidRPr="002C541C">
        <w:rPr>
          <w:rStyle w:val="HTMLCode"/>
          <w:rFonts w:ascii="Calibri" w:eastAsiaTheme="majorEastAsia" w:hAnsi="Calibri" w:cs="Calibri"/>
        </w:rPr>
        <w:t>4-MarinBio-Science-That-Thinks-With-You.md</w:t>
      </w:r>
      <w:r w:rsidRPr="002C541C">
        <w:rPr>
          <w:rFonts w:ascii="Calibri" w:hAnsi="Calibri" w:cs="Calibri"/>
        </w:rPr>
        <w:t xml:space="preserve">): "Science That Thinks </w:t>
      </w:r>
      <w:proofErr w:type="gramStart"/>
      <w:r w:rsidRPr="002C541C">
        <w:rPr>
          <w:rFonts w:ascii="Calibri" w:hAnsi="Calibri" w:cs="Calibri"/>
        </w:rPr>
        <w:t>With</w:t>
      </w:r>
      <w:proofErr w:type="gramEnd"/>
      <w:r w:rsidRPr="002C541C">
        <w:rPr>
          <w:rFonts w:ascii="Calibri" w:hAnsi="Calibri" w:cs="Calibri"/>
        </w:rPr>
        <w:t xml:space="preserve"> You" is delivered by these senior scientists. Their expertise ensures proactive problem-solving and strategic guidance.</w:t>
      </w:r>
    </w:p>
    <w:p w14:paraId="1D03D030" w14:textId="77777777" w:rsidR="002C541C" w:rsidRPr="002C541C" w:rsidRDefault="002C541C" w:rsidP="002C541C">
      <w:pPr>
        <w:pStyle w:val="NormalWeb"/>
        <w:rPr>
          <w:rFonts w:ascii="Calibri" w:hAnsi="Calibri" w:cs="Calibri"/>
        </w:rPr>
      </w:pPr>
      <w:r w:rsidRPr="002C541C">
        <w:rPr>
          <w:rStyle w:val="Strong"/>
          <w:rFonts w:ascii="Calibri" w:hAnsi="Calibri" w:cs="Calibri"/>
        </w:rPr>
        <w:t>Team Caliber</w:t>
      </w:r>
      <w:r w:rsidRPr="002C541C">
        <w:rPr>
          <w:rFonts w:ascii="Calibri" w:hAnsi="Calibri" w:cs="Calibri"/>
        </w:rPr>
        <w:t xml:space="preserve"> (</w:t>
      </w:r>
      <w:r w:rsidRPr="002C541C">
        <w:rPr>
          <w:rStyle w:val="HTMLCode"/>
          <w:rFonts w:ascii="Calibri" w:eastAsiaTheme="majorEastAsia" w:hAnsi="Calibri" w:cs="Calibri"/>
        </w:rPr>
        <w:t>1b-Output-Foundational Dataset...</w:t>
      </w:r>
      <w:r w:rsidRPr="002C541C">
        <w:rPr>
          <w:rFonts w:ascii="Calibri" w:hAnsi="Calibri" w:cs="Calibri"/>
        </w:rPr>
        <w:t xml:space="preserve">, </w:t>
      </w:r>
      <w:r w:rsidRPr="002C541C">
        <w:rPr>
          <w:rStyle w:val="HTMLCode"/>
          <w:rFonts w:ascii="Calibri" w:eastAsiaTheme="majorEastAsia" w:hAnsi="Calibri" w:cs="Calibri"/>
        </w:rPr>
        <w:t>2a-Output-Foundational Dataset...</w:t>
      </w:r>
      <w:r w:rsidRPr="002C541C">
        <w:rPr>
          <w:rFonts w:ascii="Calibri" w:hAnsi="Calibri" w:cs="Calibri"/>
        </w:rPr>
        <w:t>): Mentions of scientists from MIT, Stanford, and decades of experience underscore the "senior scientist advantage."</w:t>
      </w:r>
    </w:p>
    <w:p w14:paraId="365695A8" w14:textId="77777777" w:rsidR="002C541C" w:rsidRPr="002C541C" w:rsidRDefault="002C541C" w:rsidP="002C541C">
      <w:pPr>
        <w:pStyle w:val="NormalWeb"/>
        <w:rPr>
          <w:rFonts w:ascii="Calibri" w:hAnsi="Calibri" w:cs="Calibri"/>
        </w:rPr>
      </w:pPr>
      <w:r w:rsidRPr="002C541C">
        <w:rPr>
          <w:rStyle w:val="Strong"/>
          <w:rFonts w:ascii="Calibri" w:hAnsi="Calibri" w:cs="Calibri"/>
        </w:rPr>
        <w:t>Strategic Summary:</w:t>
      </w:r>
      <w:r w:rsidRPr="002C541C">
        <w:rPr>
          <w:rFonts w:ascii="Calibri" w:hAnsi="Calibri" w:cs="Calibri"/>
        </w:rPr>
        <w:t xml:space="preserve"> This white paper directly addresses the quality and expertise gap in the CRO market, positioning </w:t>
      </w:r>
      <w:proofErr w:type="spellStart"/>
      <w:r w:rsidRPr="002C541C">
        <w:rPr>
          <w:rFonts w:ascii="Calibri" w:hAnsi="Calibri" w:cs="Calibri"/>
        </w:rPr>
        <w:t>MarinBio's</w:t>
      </w:r>
      <w:proofErr w:type="spellEnd"/>
      <w:r w:rsidRPr="002C541C">
        <w:rPr>
          <w:rFonts w:ascii="Calibri" w:hAnsi="Calibri" w:cs="Calibri"/>
        </w:rPr>
        <w:t xml:space="preserve"> senior scientist model as a competitive necessity rather than a luxury. It targets decision-makers who understand that complex bioanalytical challenges require experienced professionals, not junior staff, making the case for investing in true expertise.</w:t>
      </w:r>
    </w:p>
    <w:p w14:paraId="783D5135" w14:textId="77777777" w:rsidR="002C541C" w:rsidRDefault="002C541C">
      <w:pPr>
        <w:rPr>
          <w:rFonts w:eastAsiaTheme="majorEastAsia" w:cs="Calibri"/>
          <w:b/>
          <w:bCs/>
          <w:color w:val="365F91" w:themeColor="accent1" w:themeShade="BF"/>
          <w:sz w:val="28"/>
          <w:szCs w:val="28"/>
        </w:rPr>
      </w:pPr>
      <w:r>
        <w:rPr>
          <w:rFonts w:cs="Calibri"/>
        </w:rPr>
        <w:br w:type="page"/>
      </w:r>
    </w:p>
    <w:p w14:paraId="32B82E2A" w14:textId="5FEBE858" w:rsidR="002C541C" w:rsidRPr="002C541C" w:rsidRDefault="002C541C" w:rsidP="007D1D70">
      <w:pPr>
        <w:pStyle w:val="Heading1"/>
      </w:pPr>
      <w:bookmarkStart w:id="5" w:name="_Toc201040300"/>
      <w:r w:rsidRPr="002C541C">
        <w:lastRenderedPageBreak/>
        <w:t>Topic 6: Future-Proofing Your Therapeutic: Bioanalytical Strategies for Emerging Modalities and Next-Generation Challenges</w:t>
      </w:r>
      <w:bookmarkEnd w:id="5"/>
    </w:p>
    <w:p w14:paraId="5ECFDCD2" w14:textId="77777777" w:rsidR="002C541C" w:rsidRPr="002C541C" w:rsidRDefault="002C541C" w:rsidP="002C541C">
      <w:pPr>
        <w:pStyle w:val="NormalWeb"/>
        <w:rPr>
          <w:rFonts w:ascii="Calibri" w:hAnsi="Calibri" w:cs="Calibri"/>
        </w:rPr>
      </w:pPr>
      <w:r w:rsidRPr="002C541C">
        <w:rPr>
          <w:rStyle w:val="Strong"/>
          <w:rFonts w:ascii="Calibri" w:hAnsi="Calibri" w:cs="Calibri"/>
        </w:rPr>
        <w:t>Demonstrated Awareness</w:t>
      </w:r>
      <w:r w:rsidRPr="002C541C">
        <w:rPr>
          <w:rFonts w:ascii="Calibri" w:hAnsi="Calibri" w:cs="Calibri"/>
        </w:rPr>
        <w:t xml:space="preserve"> (</w:t>
      </w:r>
      <w:r w:rsidRPr="002C541C">
        <w:rPr>
          <w:rStyle w:val="HTMLCode"/>
          <w:rFonts w:ascii="Calibri" w:eastAsiaTheme="majorEastAsia" w:hAnsi="Calibri" w:cs="Calibri"/>
        </w:rPr>
        <w:t>8-Blog_Synthesis_and_Links.md</w:t>
      </w:r>
      <w:r w:rsidRPr="002C541C">
        <w:rPr>
          <w:rFonts w:ascii="Calibri" w:hAnsi="Calibri" w:cs="Calibri"/>
        </w:rPr>
        <w:t xml:space="preserve">): Blog discussions on AI, organoids, and other advanced topics show </w:t>
      </w:r>
      <w:proofErr w:type="spellStart"/>
      <w:r w:rsidRPr="002C541C">
        <w:rPr>
          <w:rFonts w:ascii="Calibri" w:hAnsi="Calibri" w:cs="Calibri"/>
        </w:rPr>
        <w:t>MarinBio</w:t>
      </w:r>
      <w:proofErr w:type="spellEnd"/>
      <w:r w:rsidRPr="002C541C">
        <w:rPr>
          <w:rFonts w:ascii="Calibri" w:hAnsi="Calibri" w:cs="Calibri"/>
        </w:rPr>
        <w:t xml:space="preserve"> is already exploring future trends. This paper elevates that to a strategic vision.</w:t>
      </w:r>
    </w:p>
    <w:p w14:paraId="67573CC7" w14:textId="77777777" w:rsidR="002C541C" w:rsidRPr="002C541C" w:rsidRDefault="002C541C" w:rsidP="002C541C">
      <w:pPr>
        <w:pStyle w:val="NormalWeb"/>
        <w:rPr>
          <w:rFonts w:ascii="Calibri" w:hAnsi="Calibri" w:cs="Calibri"/>
        </w:rPr>
      </w:pPr>
      <w:r w:rsidRPr="002C541C">
        <w:rPr>
          <w:rStyle w:val="Strong"/>
          <w:rFonts w:ascii="Calibri" w:hAnsi="Calibri" w:cs="Calibri"/>
        </w:rPr>
        <w:t>Culture of Innovation</w:t>
      </w:r>
      <w:r w:rsidRPr="002C541C">
        <w:rPr>
          <w:rFonts w:ascii="Calibri" w:hAnsi="Calibri" w:cs="Calibri"/>
        </w:rPr>
        <w:t xml:space="preserve"> (</w:t>
      </w:r>
      <w:r w:rsidRPr="002C541C">
        <w:rPr>
          <w:rStyle w:val="HTMLCode"/>
          <w:rFonts w:ascii="Calibri" w:eastAsiaTheme="majorEastAsia" w:hAnsi="Calibri" w:cs="Calibri"/>
        </w:rPr>
        <w:t xml:space="preserve">3-The </w:t>
      </w:r>
      <w:proofErr w:type="spellStart"/>
      <w:r w:rsidRPr="002C541C">
        <w:rPr>
          <w:rStyle w:val="HTMLCode"/>
          <w:rFonts w:ascii="Calibri" w:eastAsiaTheme="majorEastAsia" w:hAnsi="Calibri" w:cs="Calibri"/>
        </w:rPr>
        <w:t>MarinBio</w:t>
      </w:r>
      <w:proofErr w:type="spellEnd"/>
      <w:r w:rsidRPr="002C541C">
        <w:rPr>
          <w:rStyle w:val="HTMLCode"/>
          <w:rFonts w:ascii="Calibri" w:eastAsiaTheme="majorEastAsia" w:hAnsi="Calibri" w:cs="Calibri"/>
        </w:rPr>
        <w:t xml:space="preserve"> Origin Story.md</w:t>
      </w:r>
      <w:r w:rsidRPr="002C541C">
        <w:rPr>
          <w:rFonts w:ascii="Calibri" w:hAnsi="Calibri" w:cs="Calibri"/>
        </w:rPr>
        <w:t>): Dr. Weiss's assertion that contract research "demands innovation, precision, and adaptability every day" is the cultural bedrock for this forward-looking stance.</w:t>
      </w:r>
    </w:p>
    <w:p w14:paraId="18C38BFE" w14:textId="77777777" w:rsidR="002C541C" w:rsidRPr="002C541C" w:rsidRDefault="002C541C" w:rsidP="002C541C">
      <w:pPr>
        <w:pStyle w:val="NormalWeb"/>
        <w:rPr>
          <w:rFonts w:ascii="Calibri" w:hAnsi="Calibri" w:cs="Calibri"/>
        </w:rPr>
      </w:pPr>
      <w:r w:rsidRPr="002C541C">
        <w:rPr>
          <w:rStyle w:val="Strong"/>
          <w:rFonts w:ascii="Calibri" w:hAnsi="Calibri" w:cs="Calibri"/>
        </w:rPr>
        <w:t>Attracting Top Talent &amp; Partners</w:t>
      </w:r>
      <w:r w:rsidRPr="002C541C">
        <w:rPr>
          <w:rFonts w:ascii="Calibri" w:hAnsi="Calibri" w:cs="Calibri"/>
        </w:rPr>
        <w:t xml:space="preserve"> (</w:t>
      </w:r>
      <w:r w:rsidRPr="002C541C">
        <w:rPr>
          <w:rStyle w:val="HTMLCode"/>
          <w:rFonts w:ascii="Calibri" w:eastAsiaTheme="majorEastAsia" w:hAnsi="Calibri" w:cs="Calibri"/>
        </w:rPr>
        <w:t>1b-Output-Foundational Dataset...</w:t>
      </w:r>
      <w:r w:rsidRPr="002C541C">
        <w:rPr>
          <w:rFonts w:ascii="Calibri" w:hAnsi="Calibri" w:cs="Calibri"/>
        </w:rPr>
        <w:t xml:space="preserve">): Focusing on next-generation challenges helps attract elite scientists and positions </w:t>
      </w:r>
      <w:proofErr w:type="spellStart"/>
      <w:r w:rsidRPr="002C541C">
        <w:rPr>
          <w:rFonts w:ascii="Calibri" w:hAnsi="Calibri" w:cs="Calibri"/>
        </w:rPr>
        <w:t>MarinBio</w:t>
      </w:r>
      <w:proofErr w:type="spellEnd"/>
      <w:r w:rsidRPr="002C541C">
        <w:rPr>
          <w:rFonts w:ascii="Calibri" w:hAnsi="Calibri" w:cs="Calibri"/>
        </w:rPr>
        <w:t xml:space="preserve"> as an attractive partner for companies working on cutting-edge therapeutics (ATMPs, etc.).</w:t>
      </w:r>
    </w:p>
    <w:p w14:paraId="20DE3FC1" w14:textId="77777777" w:rsidR="002C541C" w:rsidRPr="002C541C" w:rsidRDefault="002C541C" w:rsidP="002C541C">
      <w:pPr>
        <w:pStyle w:val="NormalWeb"/>
        <w:rPr>
          <w:rFonts w:ascii="Calibri" w:hAnsi="Calibri" w:cs="Calibri"/>
        </w:rPr>
      </w:pPr>
      <w:r w:rsidRPr="002C541C">
        <w:rPr>
          <w:rStyle w:val="Strong"/>
          <w:rFonts w:ascii="Calibri" w:hAnsi="Calibri" w:cs="Calibri"/>
        </w:rPr>
        <w:t>Addressing Evolving Landscape</w:t>
      </w:r>
      <w:r w:rsidRPr="002C541C">
        <w:rPr>
          <w:rFonts w:ascii="Calibri" w:hAnsi="Calibri" w:cs="Calibri"/>
        </w:rPr>
        <w:t xml:space="preserve"> (</w:t>
      </w:r>
      <w:r w:rsidRPr="002C541C">
        <w:rPr>
          <w:rStyle w:val="HTMLCode"/>
          <w:rFonts w:ascii="Calibri" w:eastAsiaTheme="majorEastAsia" w:hAnsi="Calibri" w:cs="Calibri"/>
        </w:rPr>
        <w:t>1a-Input-Source-Material-Analysis-for-MarinBio.md</w:t>
      </w:r>
      <w:r w:rsidRPr="002C541C">
        <w:rPr>
          <w:rFonts w:ascii="Calibri" w:hAnsi="Calibri" w:cs="Calibri"/>
        </w:rPr>
        <w:t xml:space="preserve">): The biopharma landscape is constantly evolving; this paper shows </w:t>
      </w:r>
      <w:proofErr w:type="spellStart"/>
      <w:r w:rsidRPr="002C541C">
        <w:rPr>
          <w:rFonts w:ascii="Calibri" w:hAnsi="Calibri" w:cs="Calibri"/>
        </w:rPr>
        <w:t>MarinBio</w:t>
      </w:r>
      <w:proofErr w:type="spellEnd"/>
      <w:r w:rsidRPr="002C541C">
        <w:rPr>
          <w:rFonts w:ascii="Calibri" w:hAnsi="Calibri" w:cs="Calibri"/>
        </w:rPr>
        <w:t xml:space="preserve"> is prepared to guide clients through future complexities.</w:t>
      </w:r>
    </w:p>
    <w:p w14:paraId="09409699" w14:textId="77777777" w:rsidR="002C541C" w:rsidRPr="002C541C" w:rsidRDefault="002C541C" w:rsidP="002C541C">
      <w:pPr>
        <w:pStyle w:val="NormalWeb"/>
        <w:rPr>
          <w:rFonts w:ascii="Calibri" w:hAnsi="Calibri" w:cs="Calibri"/>
        </w:rPr>
      </w:pPr>
      <w:r w:rsidRPr="002C541C">
        <w:rPr>
          <w:rStyle w:val="Strong"/>
          <w:rFonts w:ascii="Calibri" w:hAnsi="Calibri" w:cs="Calibri"/>
        </w:rPr>
        <w:t>Strategic Summary:</w:t>
      </w:r>
      <w:r w:rsidRPr="002C541C">
        <w:rPr>
          <w:rFonts w:ascii="Calibri" w:hAnsi="Calibri" w:cs="Calibri"/>
        </w:rPr>
        <w:t xml:space="preserve"> This forward-looking white paper positions </w:t>
      </w:r>
      <w:proofErr w:type="spellStart"/>
      <w:r w:rsidRPr="002C541C">
        <w:rPr>
          <w:rFonts w:ascii="Calibri" w:hAnsi="Calibri" w:cs="Calibri"/>
        </w:rPr>
        <w:t>MarinBio</w:t>
      </w:r>
      <w:proofErr w:type="spellEnd"/>
      <w:r w:rsidRPr="002C541C">
        <w:rPr>
          <w:rFonts w:ascii="Calibri" w:hAnsi="Calibri" w:cs="Calibri"/>
        </w:rPr>
        <w:t xml:space="preserve"> as the visionary partner that anticipates and prepares for tomorrow's challenges today. It targets innovative companies developing next-generation therapeutics and demonstrates </w:t>
      </w:r>
      <w:proofErr w:type="spellStart"/>
      <w:r w:rsidRPr="002C541C">
        <w:rPr>
          <w:rFonts w:ascii="Calibri" w:hAnsi="Calibri" w:cs="Calibri"/>
        </w:rPr>
        <w:t>MarinBio's</w:t>
      </w:r>
      <w:proofErr w:type="spellEnd"/>
      <w:r w:rsidRPr="002C541C">
        <w:rPr>
          <w:rFonts w:ascii="Calibri" w:hAnsi="Calibri" w:cs="Calibri"/>
        </w:rPr>
        <w:t xml:space="preserve"> commitment to staying at the forefront of bioanalytical science, ensuring clients are prepared for emerging regulatory and technical requirements.</w:t>
      </w:r>
    </w:p>
    <w:p w14:paraId="4E13680F" w14:textId="5A6E1EB7" w:rsidR="00E35187" w:rsidRPr="002C541C" w:rsidRDefault="00E35187">
      <w:pPr>
        <w:rPr>
          <w:rFonts w:cs="Calibri"/>
        </w:rPr>
      </w:pPr>
    </w:p>
    <w:sectPr w:rsidR="00E35187" w:rsidRPr="002C54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7E40BD4"/>
    <w:multiLevelType w:val="multilevel"/>
    <w:tmpl w:val="EB20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241452">
    <w:abstractNumId w:val="8"/>
  </w:num>
  <w:num w:numId="2" w16cid:durableId="672491475">
    <w:abstractNumId w:val="6"/>
  </w:num>
  <w:num w:numId="3" w16cid:durableId="2100369433">
    <w:abstractNumId w:val="5"/>
  </w:num>
  <w:num w:numId="4" w16cid:durableId="159927655">
    <w:abstractNumId w:val="4"/>
  </w:num>
  <w:num w:numId="5" w16cid:durableId="386537515">
    <w:abstractNumId w:val="7"/>
  </w:num>
  <w:num w:numId="6" w16cid:durableId="1121655212">
    <w:abstractNumId w:val="3"/>
  </w:num>
  <w:num w:numId="7" w16cid:durableId="32273557">
    <w:abstractNumId w:val="2"/>
  </w:num>
  <w:num w:numId="8" w16cid:durableId="1404252790">
    <w:abstractNumId w:val="1"/>
  </w:num>
  <w:num w:numId="9" w16cid:durableId="2078285824">
    <w:abstractNumId w:val="0"/>
  </w:num>
  <w:num w:numId="10" w16cid:durableId="8621367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41C"/>
    <w:rsid w:val="00326F90"/>
    <w:rsid w:val="0045209A"/>
    <w:rsid w:val="007D1D70"/>
    <w:rsid w:val="00814129"/>
    <w:rsid w:val="00AA1D8D"/>
    <w:rsid w:val="00B47730"/>
    <w:rsid w:val="00CB0664"/>
    <w:rsid w:val="00E35187"/>
    <w:rsid w:val="00EC65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39012"/>
  <w14:defaultImageDpi w14:val="300"/>
  <w15:docId w15:val="{8F75DE9D-FB69-F442-B03C-09FB6685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7D1D70"/>
    <w:pPr>
      <w:keepNext/>
      <w:keepLines/>
      <w:spacing w:before="480" w:after="0"/>
      <w:outlineLvl w:val="0"/>
    </w:pPr>
    <w:rPr>
      <w:rFonts w:eastAsiaTheme="majorEastAsia" w:cs="Calibri"/>
      <w:b/>
      <w:bCs/>
      <w:color w:val="365F91" w:themeColor="accent1" w:themeShade="BF"/>
      <w:sz w:val="40"/>
      <w:szCs w:val="40"/>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7D1D70"/>
    <w:rPr>
      <w:rFonts w:ascii="Calibri" w:eastAsiaTheme="majorEastAsia" w:hAnsi="Calibri" w:cs="Calibri"/>
      <w:b/>
      <w:bCs/>
      <w:color w:val="365F91" w:themeColor="accent1" w:themeShade="BF"/>
      <w:sz w:val="40"/>
      <w:szCs w:val="40"/>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141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4129"/>
    <w:rPr>
      <w:rFonts w:ascii="Courier New" w:eastAsia="Times New Roman" w:hAnsi="Courier New" w:cs="Courier New"/>
      <w:sz w:val="20"/>
      <w:szCs w:val="20"/>
    </w:rPr>
  </w:style>
  <w:style w:type="character" w:styleId="Hyperlink">
    <w:name w:val="Hyperlink"/>
    <w:basedOn w:val="DefaultParagraphFont"/>
    <w:uiPriority w:val="99"/>
    <w:unhideWhenUsed/>
    <w:rsid w:val="002C541C"/>
    <w:rPr>
      <w:color w:val="0000FF"/>
      <w:u w:val="single"/>
    </w:rPr>
  </w:style>
  <w:style w:type="character" w:styleId="FollowedHyperlink">
    <w:name w:val="FollowedHyperlink"/>
    <w:basedOn w:val="DefaultParagraphFont"/>
    <w:uiPriority w:val="99"/>
    <w:semiHidden/>
    <w:unhideWhenUsed/>
    <w:rsid w:val="002C541C"/>
    <w:rPr>
      <w:color w:val="800080" w:themeColor="followedHyperlink"/>
      <w:u w:val="single"/>
    </w:rPr>
  </w:style>
  <w:style w:type="paragraph" w:styleId="TOC1">
    <w:name w:val="toc 1"/>
    <w:basedOn w:val="Normal"/>
    <w:next w:val="Normal"/>
    <w:autoRedefine/>
    <w:uiPriority w:val="39"/>
    <w:unhideWhenUsed/>
    <w:rsid w:val="002C541C"/>
    <w:pPr>
      <w:pBdr>
        <w:between w:val="double" w:sz="6" w:space="0" w:color="auto"/>
      </w:pBdr>
      <w:spacing w:before="120" w:after="120"/>
      <w:jc w:val="center"/>
    </w:pPr>
    <w:rPr>
      <w:rFonts w:asciiTheme="minorHAnsi" w:hAnsiTheme="minorHAnsi"/>
      <w:b/>
      <w:bCs/>
      <w:i/>
      <w:iCs/>
      <w:sz w:val="24"/>
      <w:szCs w:val="24"/>
    </w:rPr>
  </w:style>
  <w:style w:type="paragraph" w:styleId="TOC2">
    <w:name w:val="toc 2"/>
    <w:basedOn w:val="Normal"/>
    <w:next w:val="Normal"/>
    <w:autoRedefine/>
    <w:uiPriority w:val="39"/>
    <w:unhideWhenUsed/>
    <w:rsid w:val="002C541C"/>
    <w:pPr>
      <w:pBdr>
        <w:between w:val="double" w:sz="6" w:space="0" w:color="auto"/>
      </w:pBdr>
      <w:spacing w:before="120" w:after="120"/>
      <w:jc w:val="center"/>
    </w:pPr>
    <w:rPr>
      <w:rFonts w:asciiTheme="minorHAnsi" w:hAnsiTheme="minorHAnsi"/>
      <w:i/>
      <w:iCs/>
      <w:sz w:val="20"/>
      <w:szCs w:val="20"/>
    </w:rPr>
  </w:style>
  <w:style w:type="paragraph" w:styleId="TOC3">
    <w:name w:val="toc 3"/>
    <w:basedOn w:val="Normal"/>
    <w:next w:val="Normal"/>
    <w:autoRedefine/>
    <w:uiPriority w:val="39"/>
    <w:unhideWhenUsed/>
    <w:rsid w:val="002C541C"/>
    <w:pPr>
      <w:pBdr>
        <w:between w:val="double" w:sz="6" w:space="0" w:color="auto"/>
      </w:pBdr>
      <w:spacing w:before="120" w:after="120"/>
      <w:ind w:left="220"/>
      <w:jc w:val="center"/>
    </w:pPr>
    <w:rPr>
      <w:rFonts w:asciiTheme="minorHAnsi" w:hAnsiTheme="minorHAnsi"/>
      <w:sz w:val="20"/>
      <w:szCs w:val="20"/>
    </w:rPr>
  </w:style>
  <w:style w:type="paragraph" w:styleId="TOC4">
    <w:name w:val="toc 4"/>
    <w:basedOn w:val="Normal"/>
    <w:next w:val="Normal"/>
    <w:autoRedefine/>
    <w:uiPriority w:val="39"/>
    <w:semiHidden/>
    <w:unhideWhenUsed/>
    <w:rsid w:val="002C541C"/>
    <w:pPr>
      <w:pBdr>
        <w:between w:val="double" w:sz="6" w:space="0" w:color="auto"/>
      </w:pBdr>
      <w:spacing w:before="120" w:after="120"/>
      <w:ind w:left="440"/>
      <w:jc w:val="center"/>
    </w:pPr>
    <w:rPr>
      <w:rFonts w:asciiTheme="minorHAnsi" w:hAnsiTheme="minorHAnsi"/>
      <w:sz w:val="20"/>
      <w:szCs w:val="20"/>
    </w:rPr>
  </w:style>
  <w:style w:type="paragraph" w:styleId="TOC5">
    <w:name w:val="toc 5"/>
    <w:basedOn w:val="Normal"/>
    <w:next w:val="Normal"/>
    <w:autoRedefine/>
    <w:uiPriority w:val="39"/>
    <w:semiHidden/>
    <w:unhideWhenUsed/>
    <w:rsid w:val="002C541C"/>
    <w:pPr>
      <w:pBdr>
        <w:between w:val="double" w:sz="6" w:space="0" w:color="auto"/>
      </w:pBdr>
      <w:spacing w:before="120" w:after="120"/>
      <w:ind w:left="660"/>
      <w:jc w:val="center"/>
    </w:pPr>
    <w:rPr>
      <w:rFonts w:asciiTheme="minorHAnsi" w:hAnsiTheme="minorHAnsi"/>
      <w:sz w:val="20"/>
      <w:szCs w:val="20"/>
    </w:rPr>
  </w:style>
  <w:style w:type="paragraph" w:styleId="TOC6">
    <w:name w:val="toc 6"/>
    <w:basedOn w:val="Normal"/>
    <w:next w:val="Normal"/>
    <w:autoRedefine/>
    <w:uiPriority w:val="39"/>
    <w:semiHidden/>
    <w:unhideWhenUsed/>
    <w:rsid w:val="002C541C"/>
    <w:pPr>
      <w:pBdr>
        <w:between w:val="double" w:sz="6" w:space="0" w:color="auto"/>
      </w:pBdr>
      <w:spacing w:before="120" w:after="120"/>
      <w:ind w:left="880"/>
      <w:jc w:val="center"/>
    </w:pPr>
    <w:rPr>
      <w:rFonts w:asciiTheme="minorHAnsi" w:hAnsiTheme="minorHAnsi"/>
      <w:sz w:val="20"/>
      <w:szCs w:val="20"/>
    </w:rPr>
  </w:style>
  <w:style w:type="paragraph" w:styleId="TOC7">
    <w:name w:val="toc 7"/>
    <w:basedOn w:val="Normal"/>
    <w:next w:val="Normal"/>
    <w:autoRedefine/>
    <w:uiPriority w:val="39"/>
    <w:semiHidden/>
    <w:unhideWhenUsed/>
    <w:rsid w:val="002C541C"/>
    <w:pPr>
      <w:pBdr>
        <w:between w:val="double" w:sz="6" w:space="0" w:color="auto"/>
      </w:pBdr>
      <w:spacing w:before="120" w:after="120"/>
      <w:ind w:left="1100"/>
      <w:jc w:val="center"/>
    </w:pPr>
    <w:rPr>
      <w:rFonts w:asciiTheme="minorHAnsi" w:hAnsiTheme="minorHAnsi"/>
      <w:sz w:val="20"/>
      <w:szCs w:val="20"/>
    </w:rPr>
  </w:style>
  <w:style w:type="paragraph" w:styleId="TOC8">
    <w:name w:val="toc 8"/>
    <w:basedOn w:val="Normal"/>
    <w:next w:val="Normal"/>
    <w:autoRedefine/>
    <w:uiPriority w:val="39"/>
    <w:semiHidden/>
    <w:unhideWhenUsed/>
    <w:rsid w:val="002C541C"/>
    <w:pPr>
      <w:pBdr>
        <w:between w:val="double" w:sz="6" w:space="0" w:color="auto"/>
      </w:pBdr>
      <w:spacing w:before="120" w:after="120"/>
      <w:ind w:left="1320"/>
      <w:jc w:val="center"/>
    </w:pPr>
    <w:rPr>
      <w:rFonts w:asciiTheme="minorHAnsi" w:hAnsiTheme="minorHAnsi"/>
      <w:sz w:val="20"/>
      <w:szCs w:val="20"/>
    </w:rPr>
  </w:style>
  <w:style w:type="paragraph" w:styleId="TOC9">
    <w:name w:val="toc 9"/>
    <w:basedOn w:val="Normal"/>
    <w:next w:val="Normal"/>
    <w:autoRedefine/>
    <w:uiPriority w:val="39"/>
    <w:semiHidden/>
    <w:unhideWhenUsed/>
    <w:rsid w:val="002C541C"/>
    <w:pPr>
      <w:pBdr>
        <w:between w:val="double" w:sz="6" w:space="0" w:color="auto"/>
      </w:pBdr>
      <w:spacing w:before="120" w:after="120"/>
      <w:ind w:left="1540"/>
      <w:jc w:val="center"/>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3450">
      <w:bodyDiv w:val="1"/>
      <w:marLeft w:val="0"/>
      <w:marRight w:val="0"/>
      <w:marTop w:val="0"/>
      <w:marBottom w:val="0"/>
      <w:divBdr>
        <w:top w:val="none" w:sz="0" w:space="0" w:color="auto"/>
        <w:left w:val="none" w:sz="0" w:space="0" w:color="auto"/>
        <w:bottom w:val="none" w:sz="0" w:space="0" w:color="auto"/>
        <w:right w:val="none" w:sz="0" w:space="0" w:color="auto"/>
      </w:divBdr>
    </w:div>
    <w:div w:id="11118208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Hank Groman</cp:lastModifiedBy>
  <cp:revision>4</cp:revision>
  <dcterms:created xsi:type="dcterms:W3CDTF">2013-12-23T23:15:00Z</dcterms:created>
  <dcterms:modified xsi:type="dcterms:W3CDTF">2025-06-17T15:16:00Z</dcterms:modified>
  <cp:category/>
</cp:coreProperties>
</file>