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EAAF" w14:textId="77777777" w:rsidR="00C33BAE" w:rsidRPr="00206137" w:rsidRDefault="00000000">
      <w:pPr>
        <w:spacing w:before="1200" w:after="60"/>
        <w:rPr>
          <w:rFonts w:ascii="Times New Roman" w:hAnsi="Times New Roman" w:cs="Times New Roman"/>
          <w:color w:val="000000" w:themeColor="text1"/>
        </w:rPr>
      </w:pPr>
      <w:r w:rsidRPr="00206137">
        <w:rPr>
          <w:rFonts w:ascii="Times New Roman" w:hAnsi="Times New Roman" w:cs="Times New Roman"/>
          <w:b/>
          <w:bCs/>
          <w:color w:val="000000" w:themeColor="text1"/>
          <w:sz w:val="48"/>
          <w:szCs w:val="48"/>
        </w:rPr>
        <w:t>The Cost of Inaction</w:t>
      </w:r>
    </w:p>
    <w:p w14:paraId="3BBA1231" w14:textId="77777777" w:rsidR="00C33BAE" w:rsidRPr="00206137" w:rsidRDefault="00000000">
      <w:pPr>
        <w:spacing w:after="200"/>
        <w:rPr>
          <w:rFonts w:ascii="Times New Roman" w:hAnsi="Times New Roman" w:cs="Times New Roman"/>
          <w:color w:val="000000" w:themeColor="text1"/>
        </w:rPr>
      </w:pPr>
      <w:r w:rsidRPr="00206137">
        <w:rPr>
          <w:rFonts w:ascii="Times New Roman" w:hAnsi="Times New Roman" w:cs="Times New Roman"/>
          <w:b/>
          <w:bCs/>
          <w:color w:val="000000" w:themeColor="text1"/>
          <w:sz w:val="32"/>
          <w:szCs w:val="32"/>
        </w:rPr>
        <w:t>Adolescent Girls’ Education and Human Capital in Nepal</w:t>
      </w:r>
    </w:p>
    <w:p w14:paraId="6C58BABD" w14:textId="77777777" w:rsidR="00C33BAE" w:rsidRPr="004F1A01" w:rsidRDefault="00000000">
      <w:pPr>
        <w:spacing w:after="60"/>
        <w:rPr>
          <w:rFonts w:ascii="Times New Roman" w:hAnsi="Times New Roman" w:cs="Times New Roman"/>
          <w:color w:val="000000" w:themeColor="text1"/>
          <w:sz w:val="26"/>
          <w:szCs w:val="26"/>
        </w:rPr>
      </w:pPr>
      <w:r w:rsidRPr="004F1A01">
        <w:rPr>
          <w:rFonts w:ascii="Times New Roman" w:hAnsi="Times New Roman" w:cs="Times New Roman"/>
          <w:i/>
          <w:iCs/>
          <w:color w:val="000000" w:themeColor="text1"/>
          <w:sz w:val="26"/>
          <w:szCs w:val="26"/>
        </w:rPr>
        <w:t>A policy analysis using the Nepal Living Standards Survey IV (2022/23)</w:t>
      </w:r>
    </w:p>
    <w:p w14:paraId="2300D5CE" w14:textId="77777777" w:rsidR="00C33BAE" w:rsidRPr="004F1A01" w:rsidRDefault="00000000">
      <w:pPr>
        <w:spacing w:before="400" w:after="40"/>
        <w:rPr>
          <w:rFonts w:ascii="Times New Roman" w:hAnsi="Times New Roman" w:cs="Times New Roman"/>
          <w:color w:val="000000" w:themeColor="text1"/>
        </w:rPr>
      </w:pPr>
      <w:r w:rsidRPr="004F1A01">
        <w:rPr>
          <w:rFonts w:ascii="Times New Roman" w:hAnsi="Times New Roman" w:cs="Times New Roman"/>
          <w:b/>
          <w:bCs/>
          <w:color w:val="000000" w:themeColor="text1"/>
        </w:rPr>
        <w:t>Hernando Grueso, PhD</w:t>
      </w:r>
    </w:p>
    <w:p w14:paraId="7216FDF3" w14:textId="77777777" w:rsidR="00C33BAE" w:rsidRPr="004F1A01" w:rsidRDefault="00000000">
      <w:pPr>
        <w:spacing w:after="40"/>
        <w:rPr>
          <w:rFonts w:ascii="Times New Roman" w:hAnsi="Times New Roman" w:cs="Times New Roman"/>
          <w:color w:val="000000" w:themeColor="text1"/>
        </w:rPr>
      </w:pPr>
      <w:r w:rsidRPr="004F1A01">
        <w:rPr>
          <w:rFonts w:ascii="Times New Roman" w:hAnsi="Times New Roman" w:cs="Times New Roman"/>
          <w:color w:val="000000" w:themeColor="text1"/>
        </w:rPr>
        <w:t>UNICEF</w:t>
      </w:r>
    </w:p>
    <w:p w14:paraId="7719435E" w14:textId="22903469" w:rsidR="00C33BAE" w:rsidRPr="004F1A01" w:rsidRDefault="00206137">
      <w:pPr>
        <w:spacing w:after="40"/>
        <w:rPr>
          <w:rFonts w:ascii="Times New Roman" w:hAnsi="Times New Roman" w:cs="Times New Roman"/>
          <w:color w:val="000000" w:themeColor="text1"/>
        </w:rPr>
      </w:pPr>
      <w:r w:rsidRPr="004F1A01">
        <w:rPr>
          <w:rFonts w:ascii="Times New Roman" w:hAnsi="Times New Roman" w:cs="Times New Roman"/>
          <w:color w:val="000000" w:themeColor="text1"/>
        </w:rPr>
        <w:t>June</w:t>
      </w:r>
      <w:r w:rsidR="00000000" w:rsidRPr="004F1A01">
        <w:rPr>
          <w:rFonts w:ascii="Times New Roman" w:hAnsi="Times New Roman" w:cs="Times New Roman"/>
          <w:color w:val="000000" w:themeColor="text1"/>
        </w:rPr>
        <w:t xml:space="preserve"> 2026</w:t>
      </w:r>
    </w:p>
    <w:p w14:paraId="1F3A632A"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rPr>
        <w:br w:type="page"/>
      </w:r>
    </w:p>
    <w:p w14:paraId="1DFAF908" w14:textId="77777777" w:rsidR="00C33BAE" w:rsidRPr="00206137" w:rsidRDefault="00000000">
      <w:pPr>
        <w:pStyle w:val="Heading1"/>
        <w:rPr>
          <w:rFonts w:ascii="Times New Roman" w:hAnsi="Times New Roman" w:cs="Times New Roman"/>
          <w:color w:val="000000" w:themeColor="text1"/>
        </w:rPr>
      </w:pPr>
      <w:r w:rsidRPr="00206137">
        <w:rPr>
          <w:rFonts w:ascii="Times New Roman" w:hAnsi="Times New Roman" w:cs="Times New Roman"/>
          <w:color w:val="000000" w:themeColor="text1"/>
        </w:rPr>
        <w:lastRenderedPageBreak/>
        <w:t>Executive Summary</w:t>
      </w:r>
    </w:p>
    <w:p w14:paraId="40307947" w14:textId="18DE1896"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Nepal has made </w:t>
      </w:r>
      <w:r w:rsidR="00206137">
        <w:rPr>
          <w:rFonts w:ascii="Times New Roman" w:hAnsi="Times New Roman" w:cs="Times New Roman"/>
          <w:color w:val="000000" w:themeColor="text1"/>
        </w:rPr>
        <w:t>a great</w:t>
      </w:r>
      <w:r w:rsidRPr="00206137">
        <w:rPr>
          <w:rFonts w:ascii="Times New Roman" w:hAnsi="Times New Roman" w:cs="Times New Roman"/>
          <w:color w:val="000000" w:themeColor="text1"/>
        </w:rPr>
        <w:t xml:space="preserve"> progress in getting girls into school. Today, adolescent girls are enrolled at higher rates than boys (40.2 per cent versus 34.8 per cent). Yet this progress in the classroom does not carry through to the labour market. Nearly half of adolescent girls aged 15–24</w:t>
      </w:r>
      <w:r w:rsidR="00206137">
        <w:rPr>
          <w:rFonts w:ascii="Times New Roman" w:hAnsi="Times New Roman" w:cs="Times New Roman"/>
          <w:color w:val="000000" w:themeColor="text1"/>
        </w:rPr>
        <w:t xml:space="preserve"> (</w:t>
      </w:r>
      <w:r w:rsidRPr="00206137">
        <w:rPr>
          <w:rFonts w:ascii="Times New Roman" w:hAnsi="Times New Roman" w:cs="Times New Roman"/>
          <w:color w:val="000000" w:themeColor="text1"/>
        </w:rPr>
        <w:t>46.8 per cent</w:t>
      </w:r>
      <w:r w:rsidR="00206137">
        <w:rPr>
          <w:rFonts w:ascii="Times New Roman" w:hAnsi="Times New Roman" w:cs="Times New Roman"/>
          <w:color w:val="000000" w:themeColor="text1"/>
        </w:rPr>
        <w:t>),</w:t>
      </w:r>
      <w:r w:rsidRPr="00206137">
        <w:rPr>
          <w:rFonts w:ascii="Times New Roman" w:hAnsi="Times New Roman" w:cs="Times New Roman"/>
          <w:color w:val="000000" w:themeColor="text1"/>
        </w:rPr>
        <w:t xml:space="preserve"> are not in education, employment, or training (NEET), almost double the rate for boys (26.4 per cent). The gender gap in Nepal is no longer primarily a problem of school </w:t>
      </w:r>
      <w:proofErr w:type="gramStart"/>
      <w:r w:rsidRPr="00206137">
        <w:rPr>
          <w:rFonts w:ascii="Times New Roman" w:hAnsi="Times New Roman" w:cs="Times New Roman"/>
          <w:color w:val="000000" w:themeColor="text1"/>
        </w:rPr>
        <w:t>access</w:t>
      </w:r>
      <w:r w:rsidR="00206137">
        <w:rPr>
          <w:rFonts w:ascii="Times New Roman" w:hAnsi="Times New Roman" w:cs="Times New Roman"/>
          <w:color w:val="000000" w:themeColor="text1"/>
        </w:rPr>
        <w:t>,</w:t>
      </w:r>
      <w:proofErr w:type="gramEnd"/>
      <w:r w:rsidRPr="00206137">
        <w:rPr>
          <w:rFonts w:ascii="Times New Roman" w:hAnsi="Times New Roman" w:cs="Times New Roman"/>
          <w:color w:val="000000" w:themeColor="text1"/>
        </w:rPr>
        <w:t xml:space="preserve"> it is a problem of the transition from school to economic opportunity.</w:t>
      </w:r>
    </w:p>
    <w:p w14:paraId="6720B131" w14:textId="3C66F63A"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This analysis quantifies the economic cost of that lost transition. Using nationally representative microdata from the Nepal Living Standards Survey IV (NLSS IV, 2022/23) and a combination of</w:t>
      </w:r>
      <w:r w:rsidR="00206137">
        <w:rPr>
          <w:rFonts w:ascii="Times New Roman" w:hAnsi="Times New Roman" w:cs="Times New Roman"/>
          <w:color w:val="000000" w:themeColor="text1"/>
        </w:rPr>
        <w:t xml:space="preserve"> econometrics and</w:t>
      </w:r>
      <w:r w:rsidRPr="00206137">
        <w:rPr>
          <w:rFonts w:ascii="Times New Roman" w:hAnsi="Times New Roman" w:cs="Times New Roman"/>
          <w:color w:val="000000" w:themeColor="text1"/>
        </w:rPr>
        <w:t xml:space="preserve"> causal machine-learning, we estimate that Nepal forgoes approximately NPR 8.1 billion (about USD 61 million) in lifetime productivity for every single cohort of adolescent girls who do not complete secondary education. A new cohort reaches this stage every year, so this is a recurring annual loss, not a one-off.</w:t>
      </w:r>
      <w:r w:rsidR="00206137">
        <w:rPr>
          <w:rFonts w:ascii="Times New Roman" w:hAnsi="Times New Roman" w:cs="Times New Roman"/>
          <w:color w:val="000000" w:themeColor="text1"/>
        </w:rPr>
        <w:t xml:space="preserve"> </w:t>
      </w:r>
      <w:r w:rsidRPr="00206137">
        <w:rPr>
          <w:rFonts w:ascii="Times New Roman" w:hAnsi="Times New Roman" w:cs="Times New Roman"/>
          <w:color w:val="000000" w:themeColor="text1"/>
        </w:rPr>
        <w:t xml:space="preserve">To place that figure in perspective, </w:t>
      </w:r>
      <w:r w:rsidR="00206137">
        <w:rPr>
          <w:rFonts w:ascii="Times New Roman" w:hAnsi="Times New Roman" w:cs="Times New Roman"/>
          <w:color w:val="000000" w:themeColor="text1"/>
        </w:rPr>
        <w:t>this</w:t>
      </w:r>
      <w:r w:rsidRPr="00206137">
        <w:rPr>
          <w:rFonts w:ascii="Times New Roman" w:hAnsi="Times New Roman" w:cs="Times New Roman"/>
          <w:color w:val="000000" w:themeColor="text1"/>
        </w:rPr>
        <w:t xml:space="preserve"> is equivalent to roughly 9.4 per cent of Nepal’s annual health-sector budget, 7.6 per cent of the social security allowance budget, and 4.0 per cent of the education-sector budget.</w:t>
      </w:r>
    </w:p>
    <w:p w14:paraId="6C3A956A" w14:textId="4A15BEC8"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b/>
          <w:bCs/>
          <w:color w:val="000000" w:themeColor="text1"/>
        </w:rPr>
        <w:t xml:space="preserve">Three </w:t>
      </w:r>
      <w:r w:rsidR="00206137">
        <w:rPr>
          <w:rFonts w:ascii="Times New Roman" w:hAnsi="Times New Roman" w:cs="Times New Roman"/>
          <w:b/>
          <w:bCs/>
          <w:color w:val="000000" w:themeColor="text1"/>
        </w:rPr>
        <w:t xml:space="preserve">policy insights </w:t>
      </w:r>
      <w:r w:rsidRPr="00206137">
        <w:rPr>
          <w:rFonts w:ascii="Times New Roman" w:hAnsi="Times New Roman" w:cs="Times New Roman"/>
          <w:b/>
          <w:bCs/>
          <w:color w:val="000000" w:themeColor="text1"/>
        </w:rPr>
        <w:t xml:space="preserve">stand out </w:t>
      </w:r>
      <w:r w:rsidR="00206137">
        <w:rPr>
          <w:rFonts w:ascii="Times New Roman" w:hAnsi="Times New Roman" w:cs="Times New Roman"/>
          <w:b/>
          <w:bCs/>
          <w:color w:val="000000" w:themeColor="text1"/>
        </w:rPr>
        <w:t>from these findings</w:t>
      </w:r>
      <w:r w:rsidRPr="00206137">
        <w:rPr>
          <w:rFonts w:ascii="Times New Roman" w:hAnsi="Times New Roman" w:cs="Times New Roman"/>
          <w:b/>
          <w:bCs/>
          <w:color w:val="000000" w:themeColor="text1"/>
        </w:rPr>
        <w:t>:</w:t>
      </w:r>
    </w:p>
    <w:p w14:paraId="1E8303F0" w14:textId="156A615A" w:rsidR="00C33BAE" w:rsidRPr="00206137" w:rsidRDefault="00000000">
      <w:pPr>
        <w:pStyle w:val="ListParagraph"/>
        <w:numPr>
          <w:ilvl w:val="0"/>
          <w:numId w:val="2"/>
        </w:numPr>
        <w:spacing w:after="100" w:line="276" w:lineRule="auto"/>
        <w:rPr>
          <w:rFonts w:ascii="Times New Roman" w:hAnsi="Times New Roman" w:cs="Times New Roman"/>
          <w:color w:val="000000" w:themeColor="text1"/>
        </w:rPr>
      </w:pPr>
      <w:r w:rsidRPr="00206137">
        <w:rPr>
          <w:rFonts w:ascii="Times New Roman" w:hAnsi="Times New Roman" w:cs="Times New Roman"/>
          <w:b/>
          <w:bCs/>
          <w:color w:val="000000" w:themeColor="text1"/>
        </w:rPr>
        <w:t xml:space="preserve">Child marriage is the single most powerful driver of exclusion. </w:t>
      </w:r>
      <w:r w:rsidRPr="00206137">
        <w:rPr>
          <w:rFonts w:ascii="Times New Roman" w:hAnsi="Times New Roman" w:cs="Times New Roman"/>
          <w:color w:val="000000" w:themeColor="text1"/>
        </w:rPr>
        <w:t>Being currently married is associated with a 61-percentage-point fall in enrolment and a 42-point rise in NEET</w:t>
      </w:r>
      <w:r w:rsidR="00206137">
        <w:rPr>
          <w:rFonts w:ascii="Times New Roman" w:hAnsi="Times New Roman" w:cs="Times New Roman"/>
          <w:color w:val="000000" w:themeColor="text1"/>
        </w:rPr>
        <w:t>,</w:t>
      </w:r>
      <w:r w:rsidRPr="00206137">
        <w:rPr>
          <w:rFonts w:ascii="Times New Roman" w:hAnsi="Times New Roman" w:cs="Times New Roman"/>
          <w:color w:val="000000" w:themeColor="text1"/>
        </w:rPr>
        <w:t xml:space="preserve"> larger than the combined association of poverty, caste, and disability. The share of girls who are married jumps from 10</w:t>
      </w:r>
      <w:r w:rsidR="00206137">
        <w:rPr>
          <w:rFonts w:ascii="Times New Roman" w:hAnsi="Times New Roman" w:cs="Times New Roman"/>
          <w:color w:val="000000" w:themeColor="text1"/>
        </w:rPr>
        <w:t>%</w:t>
      </w:r>
      <w:r w:rsidRPr="00206137">
        <w:rPr>
          <w:rFonts w:ascii="Times New Roman" w:hAnsi="Times New Roman" w:cs="Times New Roman"/>
          <w:color w:val="000000" w:themeColor="text1"/>
        </w:rPr>
        <w:t xml:space="preserve"> at ages 15–18 to 56</w:t>
      </w:r>
      <w:r w:rsidR="00206137">
        <w:rPr>
          <w:rFonts w:ascii="Times New Roman" w:hAnsi="Times New Roman" w:cs="Times New Roman"/>
          <w:color w:val="000000" w:themeColor="text1"/>
        </w:rPr>
        <w:t>%</w:t>
      </w:r>
      <w:r w:rsidRPr="00206137">
        <w:rPr>
          <w:rFonts w:ascii="Times New Roman" w:hAnsi="Times New Roman" w:cs="Times New Roman"/>
          <w:color w:val="000000" w:themeColor="text1"/>
        </w:rPr>
        <w:t xml:space="preserve"> at ages 19–24.</w:t>
      </w:r>
    </w:p>
    <w:p w14:paraId="233ACE67" w14:textId="77777777" w:rsidR="00C33BAE" w:rsidRPr="00206137" w:rsidRDefault="00000000">
      <w:pPr>
        <w:pStyle w:val="ListParagraph"/>
        <w:numPr>
          <w:ilvl w:val="0"/>
          <w:numId w:val="2"/>
        </w:numPr>
        <w:spacing w:after="100" w:line="276" w:lineRule="auto"/>
        <w:rPr>
          <w:rFonts w:ascii="Times New Roman" w:hAnsi="Times New Roman" w:cs="Times New Roman"/>
          <w:color w:val="000000" w:themeColor="text1"/>
        </w:rPr>
      </w:pPr>
      <w:r w:rsidRPr="00206137">
        <w:rPr>
          <w:rFonts w:ascii="Times New Roman" w:hAnsi="Times New Roman" w:cs="Times New Roman"/>
          <w:b/>
          <w:bCs/>
          <w:color w:val="000000" w:themeColor="text1"/>
        </w:rPr>
        <w:t xml:space="preserve">Secondary education has a robust, stable effect on inclusion. </w:t>
      </w:r>
      <w:r w:rsidRPr="00206137">
        <w:rPr>
          <w:rFonts w:ascii="Times New Roman" w:hAnsi="Times New Roman" w:cs="Times New Roman"/>
          <w:color w:val="000000" w:themeColor="text1"/>
        </w:rPr>
        <w:t>Completing secondary school is associated with a 13.2-percentage-point reduction in the probability of being NEET, and this effect is stable across all seven provinces and all caste groups.</w:t>
      </w:r>
    </w:p>
    <w:p w14:paraId="220D1272" w14:textId="1BF20318" w:rsidR="00C33BAE" w:rsidRPr="00206137" w:rsidRDefault="00000000">
      <w:pPr>
        <w:pStyle w:val="ListParagraph"/>
        <w:numPr>
          <w:ilvl w:val="0"/>
          <w:numId w:val="2"/>
        </w:numPr>
        <w:spacing w:after="100" w:line="276" w:lineRule="auto"/>
        <w:rPr>
          <w:rFonts w:ascii="Times New Roman" w:hAnsi="Times New Roman" w:cs="Times New Roman"/>
          <w:color w:val="000000" w:themeColor="text1"/>
        </w:rPr>
      </w:pPr>
      <w:r w:rsidRPr="00206137">
        <w:rPr>
          <w:rFonts w:ascii="Times New Roman" w:hAnsi="Times New Roman" w:cs="Times New Roman"/>
          <w:b/>
          <w:bCs/>
          <w:color w:val="000000" w:themeColor="text1"/>
        </w:rPr>
        <w:t xml:space="preserve">The returns to schooling rise steeply with each level. </w:t>
      </w:r>
      <w:r w:rsidRPr="00206137">
        <w:rPr>
          <w:rFonts w:ascii="Times New Roman" w:hAnsi="Times New Roman" w:cs="Times New Roman"/>
          <w:color w:val="000000" w:themeColor="text1"/>
        </w:rPr>
        <w:t>Each additional year of schooling is associated with a 14.5 per cent average increase in earnings for girls, and these returns are convex</w:t>
      </w:r>
      <w:r w:rsidR="00206137">
        <w:rPr>
          <w:rFonts w:ascii="Times New Roman" w:hAnsi="Times New Roman" w:cs="Times New Roman"/>
          <w:color w:val="000000" w:themeColor="text1"/>
        </w:rPr>
        <w:t>,</w:t>
      </w:r>
      <w:r w:rsidRPr="00206137">
        <w:rPr>
          <w:rFonts w:ascii="Times New Roman" w:hAnsi="Times New Roman" w:cs="Times New Roman"/>
          <w:color w:val="000000" w:themeColor="text1"/>
        </w:rPr>
        <w:t xml:space="preserve"> rising from about 8</w:t>
      </w:r>
      <w:r w:rsidR="00206137">
        <w:rPr>
          <w:rFonts w:ascii="Times New Roman" w:hAnsi="Times New Roman" w:cs="Times New Roman"/>
          <w:color w:val="000000" w:themeColor="text1"/>
        </w:rPr>
        <w:t>%</w:t>
      </w:r>
      <w:r w:rsidRPr="00206137">
        <w:rPr>
          <w:rFonts w:ascii="Times New Roman" w:hAnsi="Times New Roman" w:cs="Times New Roman"/>
          <w:color w:val="000000" w:themeColor="text1"/>
        </w:rPr>
        <w:t xml:space="preserve"> at primary</w:t>
      </w:r>
      <w:r w:rsidR="004F1A01">
        <w:rPr>
          <w:rFonts w:ascii="Times New Roman" w:hAnsi="Times New Roman" w:cs="Times New Roman"/>
          <w:color w:val="000000" w:themeColor="text1"/>
        </w:rPr>
        <w:t>,</w:t>
      </w:r>
      <w:r w:rsidRPr="00206137">
        <w:rPr>
          <w:rFonts w:ascii="Times New Roman" w:hAnsi="Times New Roman" w:cs="Times New Roman"/>
          <w:color w:val="000000" w:themeColor="text1"/>
        </w:rPr>
        <w:t xml:space="preserve"> to 27</w:t>
      </w:r>
      <w:r w:rsidR="00206137">
        <w:rPr>
          <w:rFonts w:ascii="Times New Roman" w:hAnsi="Times New Roman" w:cs="Times New Roman"/>
          <w:color w:val="000000" w:themeColor="text1"/>
        </w:rPr>
        <w:t>%</w:t>
      </w:r>
      <w:r w:rsidRPr="00206137">
        <w:rPr>
          <w:rFonts w:ascii="Times New Roman" w:hAnsi="Times New Roman" w:cs="Times New Roman"/>
          <w:color w:val="000000" w:themeColor="text1"/>
        </w:rPr>
        <w:t xml:space="preserve"> at secondary</w:t>
      </w:r>
      <w:r w:rsidR="004F1A01">
        <w:rPr>
          <w:rFonts w:ascii="Times New Roman" w:hAnsi="Times New Roman" w:cs="Times New Roman"/>
          <w:color w:val="000000" w:themeColor="text1"/>
        </w:rPr>
        <w:t>,</w:t>
      </w:r>
      <w:r w:rsidRPr="00206137">
        <w:rPr>
          <w:rFonts w:ascii="Times New Roman" w:hAnsi="Times New Roman" w:cs="Times New Roman"/>
          <w:color w:val="000000" w:themeColor="text1"/>
        </w:rPr>
        <w:t xml:space="preserve"> and 35</w:t>
      </w:r>
      <w:r w:rsidR="004F1A01">
        <w:rPr>
          <w:rFonts w:ascii="Times New Roman" w:hAnsi="Times New Roman" w:cs="Times New Roman"/>
          <w:color w:val="000000" w:themeColor="text1"/>
        </w:rPr>
        <w:t>%</w:t>
      </w:r>
      <w:r w:rsidRPr="00206137">
        <w:rPr>
          <w:rFonts w:ascii="Times New Roman" w:hAnsi="Times New Roman" w:cs="Times New Roman"/>
          <w:color w:val="000000" w:themeColor="text1"/>
        </w:rPr>
        <w:t xml:space="preserve"> at higher secondary.</w:t>
      </w:r>
    </w:p>
    <w:p w14:paraId="6B12A760" w14:textId="27948D78" w:rsidR="004F1A01" w:rsidRPr="004F1A01" w:rsidRDefault="004F1A01" w:rsidP="004F1A01">
      <w:pPr>
        <w:spacing w:after="140" w:line="276" w:lineRule="auto"/>
        <w:jc w:val="both"/>
        <w:rPr>
          <w:rFonts w:ascii="Times New Roman" w:hAnsi="Times New Roman" w:cs="Times New Roman"/>
          <w:color w:val="000000" w:themeColor="text1"/>
        </w:rPr>
      </w:pPr>
      <w:r w:rsidRPr="004F1A01">
        <w:rPr>
          <w:rFonts w:ascii="Times New Roman" w:hAnsi="Times New Roman" w:cs="Times New Roman"/>
          <w:color w:val="000000" w:themeColor="text1"/>
        </w:rPr>
        <w:t>The policy implication is clear: Nepal’s next frontier is not only to get girls into school, but to keep them in school long enough for education to change their life trajectories. Investments need to reach girls before the post-18 transition, when the risks of marriage, dropout, and labour-market exclusion accelerate sharply. This means rewarding every additional year of schooling retained, with particular emphasis on secondary and higher secondary completion.</w:t>
      </w:r>
    </w:p>
    <w:p w14:paraId="72F5BA69" w14:textId="56224F16" w:rsidR="004F1A01" w:rsidRPr="004F1A01" w:rsidRDefault="004F1A01" w:rsidP="004F1A01">
      <w:pPr>
        <w:spacing w:after="140" w:line="276" w:lineRule="auto"/>
        <w:jc w:val="both"/>
        <w:rPr>
          <w:rFonts w:ascii="Times New Roman" w:hAnsi="Times New Roman" w:cs="Times New Roman"/>
          <w:color w:val="000000" w:themeColor="text1"/>
        </w:rPr>
      </w:pPr>
      <w:r w:rsidRPr="004F1A01">
        <w:rPr>
          <w:rFonts w:ascii="Times New Roman" w:hAnsi="Times New Roman" w:cs="Times New Roman"/>
          <w:color w:val="000000" w:themeColor="text1"/>
        </w:rPr>
        <w:t>At the same time, education policy cannot be separated from child marriage prevention. Reducing child marriage is not only a protection objective</w:t>
      </w:r>
      <w:r>
        <w:rPr>
          <w:rFonts w:ascii="Times New Roman" w:hAnsi="Times New Roman" w:cs="Times New Roman"/>
          <w:color w:val="000000" w:themeColor="text1"/>
        </w:rPr>
        <w:t>,</w:t>
      </w:r>
      <w:r w:rsidRPr="004F1A01">
        <w:rPr>
          <w:rFonts w:ascii="Times New Roman" w:hAnsi="Times New Roman" w:cs="Times New Roman"/>
          <w:color w:val="000000" w:themeColor="text1"/>
        </w:rPr>
        <w:t xml:space="preserve"> </w:t>
      </w:r>
      <w:proofErr w:type="gramStart"/>
      <w:r w:rsidRPr="004F1A01">
        <w:rPr>
          <w:rFonts w:ascii="Times New Roman" w:hAnsi="Times New Roman" w:cs="Times New Roman"/>
          <w:color w:val="000000" w:themeColor="text1"/>
        </w:rPr>
        <w:t>it is</w:t>
      </w:r>
      <w:proofErr w:type="gramEnd"/>
      <w:r w:rsidRPr="004F1A01">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also </w:t>
      </w:r>
      <w:r w:rsidRPr="004F1A01">
        <w:rPr>
          <w:rFonts w:ascii="Times New Roman" w:hAnsi="Times New Roman" w:cs="Times New Roman"/>
          <w:color w:val="000000" w:themeColor="text1"/>
        </w:rPr>
        <w:t>central to education, employment, and economic growth. The findings show that marriage is one of the strongest predictors of girls’ exclusion from both school and work. Interventions that keep girls in school, delay marriage, support families, and expand adolescent girls’ aspirations should therefore be treated as mutually reinforcing components of the same investment agenda.</w:t>
      </w:r>
    </w:p>
    <w:p w14:paraId="356B1664" w14:textId="6BE659E5" w:rsidR="00C33BAE" w:rsidRPr="00206137" w:rsidRDefault="004F1A01" w:rsidP="004F1A01">
      <w:pPr>
        <w:spacing w:after="140" w:line="276" w:lineRule="auto"/>
        <w:jc w:val="both"/>
        <w:rPr>
          <w:rFonts w:ascii="Times New Roman" w:hAnsi="Times New Roman" w:cs="Times New Roman"/>
          <w:color w:val="000000" w:themeColor="text1"/>
        </w:rPr>
      </w:pPr>
      <w:r w:rsidRPr="004F1A01">
        <w:rPr>
          <w:rFonts w:ascii="Times New Roman" w:hAnsi="Times New Roman" w:cs="Times New Roman"/>
          <w:color w:val="000000" w:themeColor="text1"/>
        </w:rPr>
        <w:t xml:space="preserve">Finally, secondary education must be paired with credible pathways into economic opportunity. Girls need not only to complete school, but also to see a viable transition into skills, employment, entrepreneurship, and further learning. Without this, Nepal risks sustaining high levels of female enrolment while continuing to lose the economic returns of girls’ education. </w:t>
      </w:r>
    </w:p>
    <w:p w14:paraId="6846D537" w14:textId="77777777" w:rsidR="00C33BAE" w:rsidRPr="00206137" w:rsidRDefault="00000000">
      <w:pPr>
        <w:pStyle w:val="Heading1"/>
        <w:rPr>
          <w:rFonts w:ascii="Times New Roman" w:hAnsi="Times New Roman" w:cs="Times New Roman"/>
          <w:color w:val="000000" w:themeColor="text1"/>
        </w:rPr>
      </w:pPr>
      <w:r w:rsidRPr="00206137">
        <w:rPr>
          <w:rFonts w:ascii="Times New Roman" w:hAnsi="Times New Roman" w:cs="Times New Roman"/>
          <w:color w:val="000000" w:themeColor="text1"/>
        </w:rPr>
        <w:lastRenderedPageBreak/>
        <w:t>1. Introduction and Motivation</w:t>
      </w:r>
    </w:p>
    <w:p w14:paraId="006E857D"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Investing in girls’ education is among the most </w:t>
      </w:r>
      <w:proofErr w:type="gramStart"/>
      <w:r w:rsidRPr="00206137">
        <w:rPr>
          <w:rFonts w:ascii="Times New Roman" w:hAnsi="Times New Roman" w:cs="Times New Roman"/>
          <w:color w:val="000000" w:themeColor="text1"/>
        </w:rPr>
        <w:t>widely-evidenced</w:t>
      </w:r>
      <w:proofErr w:type="gramEnd"/>
      <w:r w:rsidRPr="00206137">
        <w:rPr>
          <w:rFonts w:ascii="Times New Roman" w:hAnsi="Times New Roman" w:cs="Times New Roman"/>
          <w:color w:val="000000" w:themeColor="text1"/>
        </w:rPr>
        <w:t xml:space="preserve"> development priorities in the world. The case is usually made in terms of rights and long-run social benefits. This report makes the case in the language of public finance: what does Nepal lose, in measurable economic terms, when adolescent girls do not complete secondary education and do not transition into productive economic activity?</w:t>
      </w:r>
    </w:p>
    <w:p w14:paraId="2B03AC1B"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The motivation is both moral and fiscal. Nepal’s Constitution guarantees education as a fundamental right, and the country has committed to the Sustainable Development Goals. But for a Ministry of Finance weighing competing claims on a constrained budget, the relevant question is concrete: is closing the gender gap in the school-to-work transition an expenditure, or an investment with a positive return? This analysis is designed to answer that question with defensible numbers.</w:t>
      </w:r>
    </w:p>
    <w:p w14:paraId="46EE5B48" w14:textId="6313693D"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This work follows the methodology of UNICEF’s cost-of-inaction analyses in other contexts </w:t>
      </w:r>
      <w:r w:rsidR="004F1A01" w:rsidRPr="00206137">
        <w:rPr>
          <w:rFonts w:ascii="Times New Roman" w:hAnsi="Times New Roman" w:cs="Times New Roman"/>
          <w:color w:val="000000" w:themeColor="text1"/>
        </w:rPr>
        <w:t>—</w:t>
      </w:r>
      <w:r w:rsidRPr="00206137">
        <w:rPr>
          <w:rFonts w:ascii="Times New Roman" w:hAnsi="Times New Roman" w:cs="Times New Roman"/>
          <w:color w:val="000000" w:themeColor="text1"/>
        </w:rPr>
        <w:t xml:space="preserve">notably the </w:t>
      </w:r>
      <w:r w:rsidRPr="00206137">
        <w:rPr>
          <w:rFonts w:ascii="Times New Roman" w:hAnsi="Times New Roman" w:cs="Times New Roman"/>
          <w:i/>
          <w:iCs/>
          <w:color w:val="000000" w:themeColor="text1"/>
        </w:rPr>
        <w:t>Cost of Inaction: Girls’ Education in Afghanistan</w:t>
      </w:r>
      <w:r w:rsidRPr="00206137">
        <w:rPr>
          <w:rFonts w:ascii="Times New Roman" w:hAnsi="Times New Roman" w:cs="Times New Roman"/>
          <w:color w:val="000000" w:themeColor="text1"/>
        </w:rPr>
        <w:t xml:space="preserve"> (2022) and Nepal’s own </w:t>
      </w:r>
      <w:r w:rsidRPr="00206137">
        <w:rPr>
          <w:rFonts w:ascii="Times New Roman" w:hAnsi="Times New Roman" w:cs="Times New Roman"/>
          <w:i/>
          <w:iCs/>
          <w:color w:val="000000" w:themeColor="text1"/>
        </w:rPr>
        <w:t>Cost of Inaction of Child Marriage</w:t>
      </w:r>
      <w:r w:rsidRPr="00206137">
        <w:rPr>
          <w:rFonts w:ascii="Times New Roman" w:hAnsi="Times New Roman" w:cs="Times New Roman"/>
          <w:color w:val="000000" w:themeColor="text1"/>
        </w:rPr>
        <w:t xml:space="preserve"> (2014)— while adapting the approach to Nepal’s current data and using more recent causal-inference techniques.</w:t>
      </w:r>
    </w:p>
    <w:p w14:paraId="4130A579" w14:textId="77777777" w:rsidR="00C33BAE" w:rsidRPr="00206137" w:rsidRDefault="00000000">
      <w:pPr>
        <w:pStyle w:val="Heading1"/>
        <w:rPr>
          <w:rFonts w:ascii="Times New Roman" w:hAnsi="Times New Roman" w:cs="Times New Roman"/>
          <w:color w:val="000000" w:themeColor="text1"/>
        </w:rPr>
      </w:pPr>
      <w:r w:rsidRPr="00206137">
        <w:rPr>
          <w:rFonts w:ascii="Times New Roman" w:hAnsi="Times New Roman" w:cs="Times New Roman"/>
          <w:color w:val="000000" w:themeColor="text1"/>
        </w:rPr>
        <w:t>2. Data</w:t>
      </w:r>
    </w:p>
    <w:p w14:paraId="0248D9B2"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The analysis uses the </w:t>
      </w:r>
      <w:r w:rsidRPr="004F1A01">
        <w:rPr>
          <w:rFonts w:ascii="Times New Roman" w:hAnsi="Times New Roman" w:cs="Times New Roman"/>
          <w:color w:val="000000" w:themeColor="text1"/>
        </w:rPr>
        <w:t>Nepal Living Standards Survey IV (NLSS IV), 2022/23</w:t>
      </w:r>
      <w:r w:rsidRPr="00206137">
        <w:rPr>
          <w:rFonts w:ascii="Times New Roman" w:hAnsi="Times New Roman" w:cs="Times New Roman"/>
          <w:color w:val="000000" w:themeColor="text1"/>
        </w:rPr>
        <w:t>, produced by the National Statistics Office (NSO) of Nepal. The NLSS IV is a nationally representative, two-stage stratified household survey covering all seven provinces. It interviewed 46,870 individuals in 9,600 households.</w:t>
      </w:r>
    </w:p>
    <w:p w14:paraId="3FD420C2" w14:textId="38C2CE28"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The core analytical sample is </w:t>
      </w:r>
      <w:r w:rsidRPr="004F1A01">
        <w:rPr>
          <w:rFonts w:ascii="Times New Roman" w:hAnsi="Times New Roman" w:cs="Times New Roman"/>
          <w:color w:val="000000" w:themeColor="text1"/>
        </w:rPr>
        <w:t>9,785 youth aged 15–24</w:t>
      </w:r>
      <w:r w:rsidRPr="00206137">
        <w:rPr>
          <w:rFonts w:ascii="Times New Roman" w:hAnsi="Times New Roman" w:cs="Times New Roman"/>
          <w:color w:val="000000" w:themeColor="text1"/>
        </w:rPr>
        <w:t xml:space="preserve"> (4,919 girls and 4,866 boys). For the </w:t>
      </w:r>
      <w:r w:rsidR="005F1F5C">
        <w:rPr>
          <w:rFonts w:ascii="Times New Roman" w:hAnsi="Times New Roman" w:cs="Times New Roman"/>
          <w:color w:val="000000" w:themeColor="text1"/>
        </w:rPr>
        <w:t>econometric</w:t>
      </w:r>
      <w:r w:rsidRPr="00206137">
        <w:rPr>
          <w:rFonts w:ascii="Times New Roman" w:hAnsi="Times New Roman" w:cs="Times New Roman"/>
          <w:color w:val="000000" w:themeColor="text1"/>
        </w:rPr>
        <w:t xml:space="preserve"> analyses we use the broader sample of </w:t>
      </w:r>
      <w:r w:rsidRPr="004F1A01">
        <w:rPr>
          <w:rFonts w:ascii="Times New Roman" w:hAnsi="Times New Roman" w:cs="Times New Roman"/>
          <w:color w:val="000000" w:themeColor="text1"/>
        </w:rPr>
        <w:t>13,586 women aged 15–64.</w:t>
      </w:r>
      <w:r w:rsidRPr="00206137">
        <w:rPr>
          <w:rFonts w:ascii="Times New Roman" w:hAnsi="Times New Roman" w:cs="Times New Roman"/>
          <w:color w:val="000000" w:themeColor="text1"/>
        </w:rPr>
        <w:t xml:space="preserve"> All estimates use the survey’s sampling weights and account for its complex design (primary sampling units and provincial strata).</w:t>
      </w:r>
    </w:p>
    <w:p w14:paraId="47F99AEE" w14:textId="77777777" w:rsidR="00C33BAE" w:rsidRPr="00206137" w:rsidRDefault="00000000">
      <w:pPr>
        <w:spacing w:after="140" w:line="276" w:lineRule="auto"/>
        <w:jc w:val="both"/>
        <w:rPr>
          <w:rFonts w:ascii="Times New Roman" w:hAnsi="Times New Roman" w:cs="Times New Roman"/>
          <w:color w:val="000000" w:themeColor="text1"/>
        </w:rPr>
      </w:pPr>
      <w:r w:rsidRPr="004F1A01">
        <w:rPr>
          <w:rFonts w:ascii="Times New Roman" w:hAnsi="Times New Roman" w:cs="Times New Roman"/>
          <w:color w:val="000000" w:themeColor="text1"/>
        </w:rPr>
        <w:t>Key variables</w:t>
      </w:r>
      <w:r w:rsidRPr="00206137">
        <w:rPr>
          <w:rFonts w:ascii="Times New Roman" w:hAnsi="Times New Roman" w:cs="Times New Roman"/>
          <w:color w:val="000000" w:themeColor="text1"/>
        </w:rPr>
        <w:t xml:space="preserve"> include school enrolment and attainment (NLSS education module), employment and NEET status (defined using the ILO seven-day reference period), monthly wages, marital status, caste and ethnicity (grouped as Brahmin/Chhetri, </w:t>
      </w:r>
      <w:proofErr w:type="spellStart"/>
      <w:r w:rsidRPr="00206137">
        <w:rPr>
          <w:rFonts w:ascii="Times New Roman" w:hAnsi="Times New Roman" w:cs="Times New Roman"/>
          <w:color w:val="000000" w:themeColor="text1"/>
        </w:rPr>
        <w:t>Janajati</w:t>
      </w:r>
      <w:proofErr w:type="spellEnd"/>
      <w:r w:rsidRPr="00206137">
        <w:rPr>
          <w:rFonts w:ascii="Times New Roman" w:hAnsi="Times New Roman" w:cs="Times New Roman"/>
          <w:color w:val="000000" w:themeColor="text1"/>
        </w:rPr>
        <w:t>, Dalit, and Religious/Linguistic minorities), disability status (Washington Group questions), wealth quintile, and province of residence.</w:t>
      </w:r>
    </w:p>
    <w:p w14:paraId="4DB96EE2" w14:textId="77777777" w:rsidR="00C33BAE" w:rsidRPr="00206137" w:rsidRDefault="00000000">
      <w:pPr>
        <w:pStyle w:val="Heading1"/>
        <w:rPr>
          <w:rFonts w:ascii="Times New Roman" w:hAnsi="Times New Roman" w:cs="Times New Roman"/>
          <w:color w:val="000000" w:themeColor="text1"/>
        </w:rPr>
      </w:pPr>
      <w:r w:rsidRPr="00206137">
        <w:rPr>
          <w:rFonts w:ascii="Times New Roman" w:hAnsi="Times New Roman" w:cs="Times New Roman"/>
          <w:color w:val="000000" w:themeColor="text1"/>
        </w:rPr>
        <w:t>3. Methodology and Key Assumptions</w:t>
      </w:r>
    </w:p>
    <w:p w14:paraId="2E5C953B" w14:textId="00248345" w:rsidR="005F1F5C" w:rsidRDefault="005F1F5C">
      <w:pPr>
        <w:pStyle w:val="Heading2"/>
        <w:rPr>
          <w:rFonts w:ascii="Times New Roman" w:hAnsi="Times New Roman" w:cs="Times New Roman"/>
          <w:b w:val="0"/>
          <w:bCs w:val="0"/>
          <w:color w:val="000000" w:themeColor="text1"/>
          <w:sz w:val="22"/>
          <w:szCs w:val="22"/>
        </w:rPr>
      </w:pPr>
      <w:r w:rsidRPr="005F1F5C">
        <w:rPr>
          <w:rFonts w:ascii="Times New Roman" w:hAnsi="Times New Roman" w:cs="Times New Roman"/>
          <w:b w:val="0"/>
          <w:bCs w:val="0"/>
          <w:color w:val="000000" w:themeColor="text1"/>
          <w:sz w:val="22"/>
          <w:szCs w:val="22"/>
        </w:rPr>
        <w:t xml:space="preserve">The analysis combines three methodological approaches designed to measure gaps, estimate the returns to education, and value lost earnings. </w:t>
      </w:r>
      <w:r>
        <w:rPr>
          <w:rFonts w:ascii="Times New Roman" w:hAnsi="Times New Roman" w:cs="Times New Roman"/>
          <w:b w:val="0"/>
          <w:bCs w:val="0"/>
          <w:color w:val="000000" w:themeColor="text1"/>
          <w:sz w:val="22"/>
          <w:szCs w:val="22"/>
        </w:rPr>
        <w:t>Below is a</w:t>
      </w:r>
      <w:r w:rsidRPr="005F1F5C">
        <w:rPr>
          <w:rFonts w:ascii="Times New Roman" w:hAnsi="Times New Roman" w:cs="Times New Roman"/>
          <w:b w:val="0"/>
          <w:bCs w:val="0"/>
          <w:color w:val="000000" w:themeColor="text1"/>
          <w:sz w:val="22"/>
          <w:szCs w:val="22"/>
        </w:rPr>
        <w:t xml:space="preserve"> summary of the key aspects of these methods, full technical details </w:t>
      </w:r>
      <w:r>
        <w:rPr>
          <w:rFonts w:ascii="Times New Roman" w:hAnsi="Times New Roman" w:cs="Times New Roman"/>
          <w:b w:val="0"/>
          <w:bCs w:val="0"/>
          <w:color w:val="000000" w:themeColor="text1"/>
          <w:sz w:val="22"/>
          <w:szCs w:val="22"/>
        </w:rPr>
        <w:t xml:space="preserve">are </w:t>
      </w:r>
      <w:r w:rsidRPr="005F1F5C">
        <w:rPr>
          <w:rFonts w:ascii="Times New Roman" w:hAnsi="Times New Roman" w:cs="Times New Roman"/>
          <w:b w:val="0"/>
          <w:bCs w:val="0"/>
          <w:color w:val="000000" w:themeColor="text1"/>
          <w:sz w:val="22"/>
          <w:szCs w:val="22"/>
        </w:rPr>
        <w:t>included in the Annex.</w:t>
      </w:r>
    </w:p>
    <w:p w14:paraId="68015527" w14:textId="4E9B140A" w:rsidR="00C33BAE" w:rsidRPr="00206137" w:rsidRDefault="00000000">
      <w:pPr>
        <w:pStyle w:val="Heading2"/>
        <w:rPr>
          <w:rFonts w:ascii="Times New Roman" w:hAnsi="Times New Roman" w:cs="Times New Roman"/>
          <w:color w:val="000000" w:themeColor="text1"/>
        </w:rPr>
      </w:pPr>
      <w:r w:rsidRPr="00206137">
        <w:rPr>
          <w:rFonts w:ascii="Times New Roman" w:hAnsi="Times New Roman" w:cs="Times New Roman"/>
          <w:color w:val="000000" w:themeColor="text1"/>
        </w:rPr>
        <w:t>3.1 Measuring the gaps</w:t>
      </w:r>
    </w:p>
    <w:p w14:paraId="162CAF08" w14:textId="2249412C"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We first document the size and structure of the gender gap using descriptive statistics and a multivariate (linear probability) regression that isolates the independent association of each factor </w:t>
      </w:r>
      <w:r w:rsidR="005F1F5C">
        <w:rPr>
          <w:rFonts w:ascii="Times New Roman" w:hAnsi="Times New Roman" w:cs="Times New Roman"/>
          <w:color w:val="000000" w:themeColor="text1"/>
        </w:rPr>
        <w:t>(</w:t>
      </w:r>
      <w:r w:rsidRPr="00206137">
        <w:rPr>
          <w:rFonts w:ascii="Times New Roman" w:hAnsi="Times New Roman" w:cs="Times New Roman"/>
          <w:color w:val="000000" w:themeColor="text1"/>
        </w:rPr>
        <w:t>marriage, caste, wealth, disability, geography</w:t>
      </w:r>
      <w:r w:rsidR="005F1F5C">
        <w:rPr>
          <w:rFonts w:ascii="Times New Roman" w:hAnsi="Times New Roman" w:cs="Times New Roman"/>
          <w:color w:val="000000" w:themeColor="text1"/>
        </w:rPr>
        <w:t>)</w:t>
      </w:r>
      <w:r w:rsidRPr="00206137">
        <w:rPr>
          <w:rFonts w:ascii="Times New Roman" w:hAnsi="Times New Roman" w:cs="Times New Roman"/>
          <w:color w:val="000000" w:themeColor="text1"/>
        </w:rPr>
        <w:t xml:space="preserve"> with enrolment and NEET status.</w:t>
      </w:r>
    </w:p>
    <w:p w14:paraId="4B439508" w14:textId="7109909C" w:rsidR="00C33BAE" w:rsidRPr="00206137" w:rsidRDefault="00000000">
      <w:pPr>
        <w:pStyle w:val="Heading2"/>
        <w:rPr>
          <w:rFonts w:ascii="Times New Roman" w:hAnsi="Times New Roman" w:cs="Times New Roman"/>
          <w:color w:val="000000" w:themeColor="text1"/>
        </w:rPr>
      </w:pPr>
      <w:r w:rsidRPr="00206137">
        <w:rPr>
          <w:rFonts w:ascii="Times New Roman" w:hAnsi="Times New Roman" w:cs="Times New Roman"/>
          <w:color w:val="000000" w:themeColor="text1"/>
        </w:rPr>
        <w:t xml:space="preserve">3.2 Estimating the </w:t>
      </w:r>
      <w:r w:rsidR="005F1F5C">
        <w:rPr>
          <w:rFonts w:ascii="Times New Roman" w:hAnsi="Times New Roman" w:cs="Times New Roman"/>
          <w:color w:val="000000" w:themeColor="text1"/>
        </w:rPr>
        <w:t>effects of</w:t>
      </w:r>
      <w:r w:rsidRPr="00206137">
        <w:rPr>
          <w:rFonts w:ascii="Times New Roman" w:hAnsi="Times New Roman" w:cs="Times New Roman"/>
          <w:color w:val="000000" w:themeColor="text1"/>
        </w:rPr>
        <w:t xml:space="preserve"> education</w:t>
      </w:r>
    </w:p>
    <w:p w14:paraId="7AB9268D"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To estimate the effect of secondary education on the probability of being NEET, we use a </w:t>
      </w:r>
      <w:r w:rsidRPr="005F1F5C">
        <w:rPr>
          <w:rFonts w:ascii="Times New Roman" w:hAnsi="Times New Roman" w:cs="Times New Roman"/>
          <w:color w:val="000000" w:themeColor="text1"/>
        </w:rPr>
        <w:t>causal forest</w:t>
      </w:r>
      <w:r w:rsidRPr="00206137">
        <w:rPr>
          <w:rFonts w:ascii="Times New Roman" w:hAnsi="Times New Roman" w:cs="Times New Roman"/>
          <w:color w:val="000000" w:themeColor="text1"/>
        </w:rPr>
        <w:t xml:space="preserve"> (a machine-learning method for estimating causal effects, Wager and Athey 2018). This approach allows the </w:t>
      </w:r>
      <w:r w:rsidRPr="00206137">
        <w:rPr>
          <w:rFonts w:ascii="Times New Roman" w:hAnsi="Times New Roman" w:cs="Times New Roman"/>
          <w:color w:val="000000" w:themeColor="text1"/>
        </w:rPr>
        <w:lastRenderedPageBreak/>
        <w:t xml:space="preserve">effect of education to vary across individuals and </w:t>
      </w:r>
      <w:proofErr w:type="gramStart"/>
      <w:r w:rsidRPr="00206137">
        <w:rPr>
          <w:rFonts w:ascii="Times New Roman" w:hAnsi="Times New Roman" w:cs="Times New Roman"/>
          <w:color w:val="000000" w:themeColor="text1"/>
        </w:rPr>
        <w:t>groups, and</w:t>
      </w:r>
      <w:proofErr w:type="gramEnd"/>
      <w:r w:rsidRPr="00206137">
        <w:rPr>
          <w:rFonts w:ascii="Times New Roman" w:hAnsi="Times New Roman" w:cs="Times New Roman"/>
          <w:color w:val="000000" w:themeColor="text1"/>
        </w:rPr>
        <w:t xml:space="preserve"> provides a credible average treatment effect that is more robust than a simple correlation.</w:t>
      </w:r>
    </w:p>
    <w:p w14:paraId="2C08D67A" w14:textId="77777777" w:rsidR="00C33BAE" w:rsidRPr="00206137" w:rsidRDefault="00000000">
      <w:pPr>
        <w:pStyle w:val="Heading2"/>
        <w:rPr>
          <w:rFonts w:ascii="Times New Roman" w:hAnsi="Times New Roman" w:cs="Times New Roman"/>
          <w:color w:val="000000" w:themeColor="text1"/>
        </w:rPr>
      </w:pPr>
      <w:r w:rsidRPr="00206137">
        <w:rPr>
          <w:rFonts w:ascii="Times New Roman" w:hAnsi="Times New Roman" w:cs="Times New Roman"/>
          <w:color w:val="000000" w:themeColor="text1"/>
        </w:rPr>
        <w:t>3.3 Valuing the lost earnings</w:t>
      </w:r>
    </w:p>
    <w:p w14:paraId="6A18C555" w14:textId="3DCE47E0" w:rsidR="00C33BAE" w:rsidRPr="005F1F5C"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To translate education into economic value, we estimate a </w:t>
      </w:r>
      <w:r w:rsidRPr="005F1F5C">
        <w:rPr>
          <w:rFonts w:ascii="Times New Roman" w:hAnsi="Times New Roman" w:cs="Times New Roman"/>
          <w:color w:val="000000" w:themeColor="text1"/>
        </w:rPr>
        <w:t>Mincer wage equation</w:t>
      </w:r>
      <w:r w:rsidR="005F1F5C">
        <w:rPr>
          <w:rFonts w:ascii="Times New Roman" w:hAnsi="Times New Roman" w:cs="Times New Roman"/>
          <w:color w:val="000000" w:themeColor="text1"/>
        </w:rPr>
        <w:t>,</w:t>
      </w:r>
      <w:r w:rsidRPr="005F1F5C">
        <w:rPr>
          <w:rFonts w:ascii="Times New Roman" w:hAnsi="Times New Roman" w:cs="Times New Roman"/>
          <w:color w:val="000000" w:themeColor="text1"/>
        </w:rPr>
        <w:t xml:space="preserve"> the standard tool in labour economics relating wages to years of schooling and experience. Because wages are observed only for women in paid employment (about 25</w:t>
      </w:r>
      <w:r w:rsidR="005F1F5C">
        <w:rPr>
          <w:rFonts w:ascii="Times New Roman" w:hAnsi="Times New Roman" w:cs="Times New Roman"/>
          <w:color w:val="000000" w:themeColor="text1"/>
        </w:rPr>
        <w:t>%</w:t>
      </w:r>
      <w:r w:rsidRPr="005F1F5C">
        <w:rPr>
          <w:rFonts w:ascii="Times New Roman" w:hAnsi="Times New Roman" w:cs="Times New Roman"/>
          <w:color w:val="000000" w:themeColor="text1"/>
        </w:rPr>
        <w:t xml:space="preserve"> of working-age women), we test for selection bias using a Heckman selection model. The selection term is statistically significant but changes the estimated return by less than two percentage points, confirming that the wage estimates are robust (see Annex).</w:t>
      </w:r>
    </w:p>
    <w:p w14:paraId="535744DD" w14:textId="77777777" w:rsidR="00C33BAE" w:rsidRPr="00206137" w:rsidRDefault="00000000">
      <w:pPr>
        <w:pStyle w:val="Heading2"/>
        <w:rPr>
          <w:rFonts w:ascii="Times New Roman" w:hAnsi="Times New Roman" w:cs="Times New Roman"/>
          <w:color w:val="000000" w:themeColor="text1"/>
        </w:rPr>
      </w:pPr>
      <w:r w:rsidRPr="00206137">
        <w:rPr>
          <w:rFonts w:ascii="Times New Roman" w:hAnsi="Times New Roman" w:cs="Times New Roman"/>
          <w:color w:val="000000" w:themeColor="text1"/>
        </w:rPr>
        <w:t>3.4 Key assumptions and limitations</w:t>
      </w:r>
    </w:p>
    <w:p w14:paraId="55F9BD35"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Three assumptions are central to interpreting the cost-of-inaction figure, and we state them plainly so that the estimate is not over-read:</w:t>
      </w:r>
    </w:p>
    <w:p w14:paraId="68DC7BCF" w14:textId="77777777" w:rsidR="00C33BAE" w:rsidRPr="00206137" w:rsidRDefault="00000000">
      <w:pPr>
        <w:pStyle w:val="ListParagraph"/>
        <w:numPr>
          <w:ilvl w:val="0"/>
          <w:numId w:val="3"/>
        </w:numPr>
        <w:spacing w:after="80" w:line="276" w:lineRule="auto"/>
        <w:rPr>
          <w:rFonts w:ascii="Times New Roman" w:hAnsi="Times New Roman" w:cs="Times New Roman"/>
          <w:color w:val="000000" w:themeColor="text1"/>
        </w:rPr>
      </w:pPr>
      <w:r w:rsidRPr="00206137">
        <w:rPr>
          <w:rFonts w:ascii="Times New Roman" w:hAnsi="Times New Roman" w:cs="Times New Roman"/>
          <w:b/>
          <w:bCs/>
          <w:color w:val="000000" w:themeColor="text1"/>
        </w:rPr>
        <w:t xml:space="preserve">Formal-sector focus. </w:t>
      </w:r>
      <w:r w:rsidRPr="00206137">
        <w:rPr>
          <w:rFonts w:ascii="Times New Roman" w:hAnsi="Times New Roman" w:cs="Times New Roman"/>
          <w:color w:val="000000" w:themeColor="text1"/>
        </w:rPr>
        <w:t>Wage returns are estimated on women in paid employment, who are a minority of all working-age women. The analysis captures the economic-productivity loss associated with formal labour-market engagement; it does not value unpaid or subsistence work.</w:t>
      </w:r>
    </w:p>
    <w:p w14:paraId="6D86A111" w14:textId="77777777" w:rsidR="00C33BAE" w:rsidRPr="00206137" w:rsidRDefault="00000000">
      <w:pPr>
        <w:pStyle w:val="ListParagraph"/>
        <w:numPr>
          <w:ilvl w:val="0"/>
          <w:numId w:val="3"/>
        </w:numPr>
        <w:spacing w:after="80" w:line="276" w:lineRule="auto"/>
        <w:rPr>
          <w:rFonts w:ascii="Times New Roman" w:hAnsi="Times New Roman" w:cs="Times New Roman"/>
          <w:color w:val="000000" w:themeColor="text1"/>
        </w:rPr>
      </w:pPr>
      <w:r w:rsidRPr="00206137">
        <w:rPr>
          <w:rFonts w:ascii="Times New Roman" w:hAnsi="Times New Roman" w:cs="Times New Roman"/>
          <w:b/>
          <w:bCs/>
          <w:color w:val="000000" w:themeColor="text1"/>
        </w:rPr>
        <w:t xml:space="preserve">Labour-market entry. </w:t>
      </w:r>
      <w:r w:rsidRPr="00206137">
        <w:rPr>
          <w:rFonts w:ascii="Times New Roman" w:hAnsi="Times New Roman" w:cs="Times New Roman"/>
          <w:color w:val="000000" w:themeColor="text1"/>
        </w:rPr>
        <w:t xml:space="preserve">The break-even and cost figures assume that a girl who completes secondary education enters the labour market and earns the median wage. </w:t>
      </w:r>
      <w:proofErr w:type="gramStart"/>
      <w:r w:rsidRPr="00206137">
        <w:rPr>
          <w:rFonts w:ascii="Times New Roman" w:hAnsi="Times New Roman" w:cs="Times New Roman"/>
          <w:color w:val="000000" w:themeColor="text1"/>
        </w:rPr>
        <w:t>In reality not</w:t>
      </w:r>
      <w:proofErr w:type="gramEnd"/>
      <w:r w:rsidRPr="00206137">
        <w:rPr>
          <w:rFonts w:ascii="Times New Roman" w:hAnsi="Times New Roman" w:cs="Times New Roman"/>
          <w:color w:val="000000" w:themeColor="text1"/>
        </w:rPr>
        <w:t xml:space="preserve"> all will, so the figures describe potential economic value, not a guaranteed return.</w:t>
      </w:r>
    </w:p>
    <w:p w14:paraId="60DE0674" w14:textId="77777777" w:rsidR="00C33BAE" w:rsidRPr="00206137" w:rsidRDefault="00000000">
      <w:pPr>
        <w:pStyle w:val="ListParagraph"/>
        <w:numPr>
          <w:ilvl w:val="0"/>
          <w:numId w:val="3"/>
        </w:numPr>
        <w:spacing w:after="80" w:line="276" w:lineRule="auto"/>
        <w:rPr>
          <w:rFonts w:ascii="Times New Roman" w:hAnsi="Times New Roman" w:cs="Times New Roman"/>
          <w:color w:val="000000" w:themeColor="text1"/>
        </w:rPr>
      </w:pPr>
      <w:r w:rsidRPr="00206137">
        <w:rPr>
          <w:rFonts w:ascii="Times New Roman" w:hAnsi="Times New Roman" w:cs="Times New Roman"/>
          <w:b/>
          <w:bCs/>
          <w:color w:val="000000" w:themeColor="text1"/>
        </w:rPr>
        <w:t xml:space="preserve">An upper bound, not a lower bound. </w:t>
      </w:r>
      <w:r w:rsidRPr="00206137">
        <w:rPr>
          <w:rFonts w:ascii="Times New Roman" w:hAnsi="Times New Roman" w:cs="Times New Roman"/>
          <w:color w:val="000000" w:themeColor="text1"/>
        </w:rPr>
        <w:t xml:space="preserve">Because the estimate assumes a girl who exits NEET earns the median wage immediately — with no friction from job search, childcare, mobility, or social norms — it should be read as an </w:t>
      </w:r>
      <w:r w:rsidRPr="00206137">
        <w:rPr>
          <w:rFonts w:ascii="Times New Roman" w:hAnsi="Times New Roman" w:cs="Times New Roman"/>
          <w:b/>
          <w:bCs/>
          <w:color w:val="000000" w:themeColor="text1"/>
        </w:rPr>
        <w:t>upper bound</w:t>
      </w:r>
      <w:r w:rsidRPr="00206137">
        <w:rPr>
          <w:rFonts w:ascii="Times New Roman" w:hAnsi="Times New Roman" w:cs="Times New Roman"/>
          <w:color w:val="000000" w:themeColor="text1"/>
        </w:rPr>
        <w:t xml:space="preserve"> on what is realistically recoverable, not a floor.</w:t>
      </w:r>
    </w:p>
    <w:p w14:paraId="40AA84F4"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We also use a deliberately </w:t>
      </w:r>
      <w:r w:rsidRPr="00206137">
        <w:rPr>
          <w:rFonts w:ascii="Times New Roman" w:hAnsi="Times New Roman" w:cs="Times New Roman"/>
          <w:b/>
          <w:bCs/>
          <w:color w:val="000000" w:themeColor="text1"/>
        </w:rPr>
        <w:t>conservative wage-return benchmark of 9 per cent per year of schooling</w:t>
      </w:r>
      <w:r w:rsidRPr="00206137">
        <w:rPr>
          <w:rFonts w:ascii="Times New Roman" w:hAnsi="Times New Roman" w:cs="Times New Roman"/>
          <w:color w:val="000000" w:themeColor="text1"/>
        </w:rPr>
        <w:t xml:space="preserve"> (the International Labour Organization’s standard benchmark) for the headline cost calculation, rather than our own higher estimates. As the Annex shows, this 9 per cent figure sits </w:t>
      </w:r>
      <w:r w:rsidRPr="00206137">
        <w:rPr>
          <w:rFonts w:ascii="Times New Roman" w:hAnsi="Times New Roman" w:cs="Times New Roman"/>
          <w:b/>
          <w:bCs/>
          <w:color w:val="000000" w:themeColor="text1"/>
        </w:rPr>
        <w:t xml:space="preserve">below even the </w:t>
      </w:r>
      <w:proofErr w:type="gramStart"/>
      <w:r w:rsidRPr="00206137">
        <w:rPr>
          <w:rFonts w:ascii="Times New Roman" w:hAnsi="Times New Roman" w:cs="Times New Roman"/>
          <w:b/>
          <w:bCs/>
          <w:color w:val="000000" w:themeColor="text1"/>
        </w:rPr>
        <w:t>primary-school</w:t>
      </w:r>
      <w:proofErr w:type="gramEnd"/>
      <w:r w:rsidRPr="00206137">
        <w:rPr>
          <w:rFonts w:ascii="Times New Roman" w:hAnsi="Times New Roman" w:cs="Times New Roman"/>
          <w:b/>
          <w:bCs/>
          <w:color w:val="000000" w:themeColor="text1"/>
        </w:rPr>
        <w:t xml:space="preserve"> return</w:t>
      </w:r>
      <w:r w:rsidRPr="00206137">
        <w:rPr>
          <w:rFonts w:ascii="Times New Roman" w:hAnsi="Times New Roman" w:cs="Times New Roman"/>
          <w:color w:val="000000" w:themeColor="text1"/>
        </w:rPr>
        <w:t xml:space="preserve"> we estimate, which makes the resulting cost a conservative one.</w:t>
      </w:r>
    </w:p>
    <w:p w14:paraId="68BB654C"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rPr>
        <w:br w:type="page"/>
      </w:r>
    </w:p>
    <w:p w14:paraId="7829FA95" w14:textId="77777777" w:rsidR="00C33BAE" w:rsidRPr="00206137" w:rsidRDefault="00000000">
      <w:pPr>
        <w:pStyle w:val="Heading1"/>
        <w:rPr>
          <w:rFonts w:ascii="Times New Roman" w:hAnsi="Times New Roman" w:cs="Times New Roman"/>
          <w:color w:val="000000" w:themeColor="text1"/>
        </w:rPr>
      </w:pPr>
      <w:r w:rsidRPr="00206137">
        <w:rPr>
          <w:rFonts w:ascii="Times New Roman" w:hAnsi="Times New Roman" w:cs="Times New Roman"/>
          <w:color w:val="000000" w:themeColor="text1"/>
        </w:rPr>
        <w:lastRenderedPageBreak/>
        <w:t>4. Findings</w:t>
      </w:r>
    </w:p>
    <w:p w14:paraId="7D7F2E7F" w14:textId="77777777" w:rsidR="00C33BAE" w:rsidRPr="00206137" w:rsidRDefault="00000000">
      <w:pPr>
        <w:pStyle w:val="Heading2"/>
        <w:rPr>
          <w:rFonts w:ascii="Times New Roman" w:hAnsi="Times New Roman" w:cs="Times New Roman"/>
          <w:color w:val="000000" w:themeColor="text1"/>
        </w:rPr>
      </w:pPr>
      <w:r w:rsidRPr="00206137">
        <w:rPr>
          <w:rFonts w:ascii="Times New Roman" w:hAnsi="Times New Roman" w:cs="Times New Roman"/>
          <w:color w:val="000000" w:themeColor="text1"/>
        </w:rPr>
        <w:t>4.1 The gap is in the labour market, not the classroom</w:t>
      </w:r>
    </w:p>
    <w:p w14:paraId="1327AE75"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Girls in Nepal now enrol in school at higher rates than </w:t>
      </w:r>
      <w:proofErr w:type="gramStart"/>
      <w:r w:rsidRPr="00206137">
        <w:rPr>
          <w:rFonts w:ascii="Times New Roman" w:hAnsi="Times New Roman" w:cs="Times New Roman"/>
          <w:color w:val="000000" w:themeColor="text1"/>
        </w:rPr>
        <w:t>boys, but</w:t>
      </w:r>
      <w:proofErr w:type="gramEnd"/>
      <w:r w:rsidRPr="00206137">
        <w:rPr>
          <w:rFonts w:ascii="Times New Roman" w:hAnsi="Times New Roman" w:cs="Times New Roman"/>
          <w:color w:val="000000" w:themeColor="text1"/>
        </w:rPr>
        <w:t xml:space="preserve"> are far more likely to be excluded from both school and work as they reach adulthood. The female NEET rate of 46.8 per cent is nearly double the male rate, and the gap widens with age — from about 9 percentage points at ages 15–18 to almost 25 points at ages 19–24.</w:t>
      </w:r>
    </w:p>
    <w:p w14:paraId="745C7CC4" w14:textId="77777777" w:rsidR="00C33BAE" w:rsidRPr="00206137" w:rsidRDefault="00000000">
      <w:pPr>
        <w:spacing w:before="120" w:after="60"/>
        <w:jc w:val="center"/>
        <w:rPr>
          <w:rFonts w:ascii="Times New Roman" w:hAnsi="Times New Roman" w:cs="Times New Roman"/>
          <w:color w:val="000000" w:themeColor="text1"/>
        </w:rPr>
      </w:pPr>
      <w:r w:rsidRPr="00206137">
        <w:rPr>
          <w:rFonts w:ascii="Times New Roman" w:hAnsi="Times New Roman" w:cs="Times New Roman"/>
          <w:noProof/>
          <w:color w:val="000000" w:themeColor="text1"/>
        </w:rPr>
        <w:drawing>
          <wp:inline distT="0" distB="0" distL="0" distR="0" wp14:anchorId="14E45579" wp14:editId="16AFBE27">
            <wp:extent cx="530352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3520" cy="2651760"/>
                    </a:xfrm>
                    <a:prstGeom prst="rect">
                      <a:avLst/>
                    </a:prstGeom>
                  </pic:spPr>
                </pic:pic>
              </a:graphicData>
            </a:graphic>
          </wp:inline>
        </w:drawing>
      </w:r>
    </w:p>
    <w:p w14:paraId="1B2B693C" w14:textId="77777777" w:rsidR="00C33BAE" w:rsidRPr="00206137" w:rsidRDefault="00000000">
      <w:pPr>
        <w:spacing w:after="200"/>
        <w:jc w:val="center"/>
        <w:rPr>
          <w:rFonts w:ascii="Times New Roman" w:hAnsi="Times New Roman" w:cs="Times New Roman"/>
          <w:color w:val="000000" w:themeColor="text1"/>
        </w:rPr>
      </w:pPr>
      <w:r w:rsidRPr="00206137">
        <w:rPr>
          <w:rFonts w:ascii="Times New Roman" w:hAnsi="Times New Roman" w:cs="Times New Roman"/>
          <w:i/>
          <w:iCs/>
          <w:color w:val="000000" w:themeColor="text1"/>
          <w:sz w:val="16"/>
          <w:szCs w:val="16"/>
        </w:rPr>
        <w:t>Figure 1. Enrolment, employment, and NEET by sex, youth aged 15–24. Source: Author’s calculations, NLSS IV 2022/23.</w:t>
      </w:r>
    </w:p>
    <w:p w14:paraId="6B70EA34" w14:textId="77777777" w:rsidR="00C33BAE" w:rsidRPr="00206137" w:rsidRDefault="00000000">
      <w:pPr>
        <w:spacing w:before="120" w:after="60"/>
        <w:jc w:val="center"/>
        <w:rPr>
          <w:rFonts w:ascii="Times New Roman" w:hAnsi="Times New Roman" w:cs="Times New Roman"/>
          <w:color w:val="000000" w:themeColor="text1"/>
        </w:rPr>
      </w:pPr>
      <w:r w:rsidRPr="00206137">
        <w:rPr>
          <w:rFonts w:ascii="Times New Roman" w:hAnsi="Times New Roman" w:cs="Times New Roman"/>
          <w:noProof/>
          <w:color w:val="000000" w:themeColor="text1"/>
        </w:rPr>
        <w:drawing>
          <wp:inline distT="0" distB="0" distL="0" distR="0" wp14:anchorId="6F1EA4AC" wp14:editId="05A057C5">
            <wp:extent cx="5486400" cy="2743200"/>
            <wp:effectExtent l="0" t="0" r="0" b="0"/>
            <wp:docPr id="941060559" name="Picture 94106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743200"/>
                    </a:xfrm>
                    <a:prstGeom prst="rect">
                      <a:avLst/>
                    </a:prstGeom>
                  </pic:spPr>
                </pic:pic>
              </a:graphicData>
            </a:graphic>
          </wp:inline>
        </w:drawing>
      </w:r>
    </w:p>
    <w:p w14:paraId="65D5AAB3" w14:textId="77777777" w:rsidR="00C33BAE" w:rsidRPr="00206137" w:rsidRDefault="00000000">
      <w:pPr>
        <w:spacing w:after="200"/>
        <w:jc w:val="center"/>
        <w:rPr>
          <w:rFonts w:ascii="Times New Roman" w:hAnsi="Times New Roman" w:cs="Times New Roman"/>
          <w:color w:val="000000" w:themeColor="text1"/>
        </w:rPr>
      </w:pPr>
      <w:r w:rsidRPr="00206137">
        <w:rPr>
          <w:rFonts w:ascii="Times New Roman" w:hAnsi="Times New Roman" w:cs="Times New Roman"/>
          <w:i/>
          <w:iCs/>
          <w:color w:val="000000" w:themeColor="text1"/>
          <w:sz w:val="16"/>
          <w:szCs w:val="16"/>
        </w:rPr>
        <w:t>Figure 2. Youth outcomes by age group and sex. The NEET gap widens sharply after age 18. Source: Author’s calculations, NLSS IV 2022/23.</w:t>
      </w:r>
    </w:p>
    <w:p w14:paraId="51027EC0" w14:textId="77777777" w:rsidR="00C33BAE" w:rsidRPr="00206137" w:rsidRDefault="00000000">
      <w:pPr>
        <w:pStyle w:val="Heading2"/>
        <w:rPr>
          <w:rFonts w:ascii="Times New Roman" w:hAnsi="Times New Roman" w:cs="Times New Roman"/>
          <w:color w:val="000000" w:themeColor="text1"/>
        </w:rPr>
      </w:pPr>
      <w:r w:rsidRPr="00206137">
        <w:rPr>
          <w:rFonts w:ascii="Times New Roman" w:hAnsi="Times New Roman" w:cs="Times New Roman"/>
          <w:color w:val="000000" w:themeColor="text1"/>
        </w:rPr>
        <w:t>4.2 Child marriage is the strongest driver of exclusion</w:t>
      </w:r>
    </w:p>
    <w:p w14:paraId="67C570E7"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Among all the factors we examine, marital status has by far the largest association with girls’ exclusion. Being currently married is associated with a 61-percentage-point reduction in enrolment and a 42-point </w:t>
      </w:r>
      <w:r w:rsidRPr="00206137">
        <w:rPr>
          <w:rFonts w:ascii="Times New Roman" w:hAnsi="Times New Roman" w:cs="Times New Roman"/>
          <w:color w:val="000000" w:themeColor="text1"/>
        </w:rPr>
        <w:lastRenderedPageBreak/>
        <w:t>increase in NEET, after controlling for poverty, caste, geography, and disability. This pattern holds across every caste group.</w:t>
      </w:r>
    </w:p>
    <w:p w14:paraId="1C893000"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Crucially, the prevalence of marriage changes dramatically across the adolescent years: 10 per cent of girls aged 15–18 </w:t>
      </w:r>
      <w:proofErr w:type="gramStart"/>
      <w:r w:rsidRPr="00206137">
        <w:rPr>
          <w:rFonts w:ascii="Times New Roman" w:hAnsi="Times New Roman" w:cs="Times New Roman"/>
          <w:color w:val="000000" w:themeColor="text1"/>
        </w:rPr>
        <w:t>are</w:t>
      </w:r>
      <w:proofErr w:type="gramEnd"/>
      <w:r w:rsidRPr="00206137">
        <w:rPr>
          <w:rFonts w:ascii="Times New Roman" w:hAnsi="Times New Roman" w:cs="Times New Roman"/>
          <w:color w:val="000000" w:themeColor="text1"/>
        </w:rPr>
        <w:t xml:space="preserve"> married, rising to 56 per cent by ages 19–24. The divergence in outcomes happens at this transition — which is why interventions need to reach girls before they reach it.</w:t>
      </w:r>
    </w:p>
    <w:p w14:paraId="560340EC" w14:textId="77777777" w:rsidR="00C33BAE" w:rsidRPr="00206137" w:rsidRDefault="00000000">
      <w:pPr>
        <w:spacing w:before="120" w:after="60"/>
        <w:jc w:val="center"/>
        <w:rPr>
          <w:rFonts w:ascii="Times New Roman" w:hAnsi="Times New Roman" w:cs="Times New Roman"/>
          <w:color w:val="000000" w:themeColor="text1"/>
        </w:rPr>
      </w:pPr>
      <w:r w:rsidRPr="00206137">
        <w:rPr>
          <w:rFonts w:ascii="Times New Roman" w:hAnsi="Times New Roman" w:cs="Times New Roman"/>
          <w:noProof/>
          <w:color w:val="000000" w:themeColor="text1"/>
        </w:rPr>
        <w:drawing>
          <wp:inline distT="0" distB="0" distL="0" distR="0" wp14:anchorId="7353C8A6" wp14:editId="70458F53">
            <wp:extent cx="5486400" cy="2743200"/>
            <wp:effectExtent l="0" t="0" r="0" b="0"/>
            <wp:docPr id="1437816645" name="Picture 143781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743200"/>
                    </a:xfrm>
                    <a:prstGeom prst="rect">
                      <a:avLst/>
                    </a:prstGeom>
                  </pic:spPr>
                </pic:pic>
              </a:graphicData>
            </a:graphic>
          </wp:inline>
        </w:drawing>
      </w:r>
    </w:p>
    <w:p w14:paraId="55DE7E2B" w14:textId="77777777" w:rsidR="00C33BAE" w:rsidRPr="00206137" w:rsidRDefault="00000000">
      <w:pPr>
        <w:spacing w:after="200"/>
        <w:jc w:val="center"/>
        <w:rPr>
          <w:rFonts w:ascii="Times New Roman" w:hAnsi="Times New Roman" w:cs="Times New Roman"/>
          <w:color w:val="000000" w:themeColor="text1"/>
        </w:rPr>
      </w:pPr>
      <w:r w:rsidRPr="00206137">
        <w:rPr>
          <w:rFonts w:ascii="Times New Roman" w:hAnsi="Times New Roman" w:cs="Times New Roman"/>
          <w:i/>
          <w:iCs/>
          <w:color w:val="000000" w:themeColor="text1"/>
          <w:sz w:val="16"/>
          <w:szCs w:val="16"/>
        </w:rPr>
        <w:t>Figure 3. NEET rate by marital status and caste, girls 15–24. Marriage is associated with near-universal NEET across all groups. Source: Author’s calculations, NLSS IV 2022/23.</w:t>
      </w:r>
    </w:p>
    <w:p w14:paraId="539B08B1" w14:textId="77777777" w:rsidR="00C33BAE" w:rsidRPr="00206137" w:rsidRDefault="00000000">
      <w:pPr>
        <w:spacing w:before="120" w:after="60"/>
        <w:jc w:val="center"/>
        <w:rPr>
          <w:rFonts w:ascii="Times New Roman" w:hAnsi="Times New Roman" w:cs="Times New Roman"/>
          <w:color w:val="000000" w:themeColor="text1"/>
        </w:rPr>
      </w:pPr>
      <w:r w:rsidRPr="00206137">
        <w:rPr>
          <w:rFonts w:ascii="Times New Roman" w:hAnsi="Times New Roman" w:cs="Times New Roman"/>
          <w:noProof/>
          <w:color w:val="000000" w:themeColor="text1"/>
        </w:rPr>
        <w:drawing>
          <wp:inline distT="0" distB="0" distL="0" distR="0" wp14:anchorId="37984921" wp14:editId="683A5911">
            <wp:extent cx="5486400" cy="2743200"/>
            <wp:effectExtent l="0" t="0" r="0" b="0"/>
            <wp:docPr id="2108119907" name="Picture 2108119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743200"/>
                    </a:xfrm>
                    <a:prstGeom prst="rect">
                      <a:avLst/>
                    </a:prstGeom>
                  </pic:spPr>
                </pic:pic>
              </a:graphicData>
            </a:graphic>
          </wp:inline>
        </w:drawing>
      </w:r>
    </w:p>
    <w:p w14:paraId="7DA95CAB" w14:textId="77777777" w:rsidR="00C33BAE" w:rsidRPr="00206137" w:rsidRDefault="00000000">
      <w:pPr>
        <w:spacing w:after="200"/>
        <w:jc w:val="center"/>
        <w:rPr>
          <w:rFonts w:ascii="Times New Roman" w:hAnsi="Times New Roman" w:cs="Times New Roman"/>
          <w:color w:val="000000" w:themeColor="text1"/>
        </w:rPr>
      </w:pPr>
      <w:r w:rsidRPr="00206137">
        <w:rPr>
          <w:rFonts w:ascii="Times New Roman" w:hAnsi="Times New Roman" w:cs="Times New Roman"/>
          <w:i/>
          <w:iCs/>
          <w:color w:val="000000" w:themeColor="text1"/>
          <w:sz w:val="16"/>
          <w:szCs w:val="16"/>
        </w:rPr>
        <w:t>Figure 4. Enrolment by marital status and caste, girls 15–24. Source: Author’s calculations, NLSS IV 2022/23.</w:t>
      </w:r>
    </w:p>
    <w:p w14:paraId="6554FB50" w14:textId="77777777" w:rsidR="00C33BAE" w:rsidRPr="00206137" w:rsidRDefault="00000000">
      <w:pPr>
        <w:pStyle w:val="Heading2"/>
        <w:rPr>
          <w:rFonts w:ascii="Times New Roman" w:hAnsi="Times New Roman" w:cs="Times New Roman"/>
          <w:color w:val="000000" w:themeColor="text1"/>
        </w:rPr>
      </w:pPr>
      <w:r w:rsidRPr="00206137">
        <w:rPr>
          <w:rFonts w:ascii="Times New Roman" w:hAnsi="Times New Roman" w:cs="Times New Roman"/>
          <w:color w:val="000000" w:themeColor="text1"/>
        </w:rPr>
        <w:t>4.3 Education works — everywhere</w:t>
      </w:r>
    </w:p>
    <w:p w14:paraId="083A1B2F"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The causal-forest analysis shows that completing secondary education is associated with a 13.2-percentage-point reduction in the probability of being NEET for women aged 15–64. This effect is remarkably stable: </w:t>
      </w:r>
      <w:r w:rsidRPr="00206137">
        <w:rPr>
          <w:rFonts w:ascii="Times New Roman" w:hAnsi="Times New Roman" w:cs="Times New Roman"/>
          <w:color w:val="000000" w:themeColor="text1"/>
        </w:rPr>
        <w:lastRenderedPageBreak/>
        <w:t>it holds across all seven provinces and all caste groups, indicating that education is a reliable lever for inclusion regardless of where a girl lives or which community she belongs to.</w:t>
      </w:r>
    </w:p>
    <w:p w14:paraId="38319BDD" w14:textId="77777777" w:rsidR="00C33BAE" w:rsidRPr="00206137" w:rsidRDefault="00000000">
      <w:pPr>
        <w:spacing w:before="120" w:after="60"/>
        <w:jc w:val="center"/>
        <w:rPr>
          <w:rFonts w:ascii="Times New Roman" w:hAnsi="Times New Roman" w:cs="Times New Roman"/>
          <w:color w:val="000000" w:themeColor="text1"/>
        </w:rPr>
      </w:pPr>
      <w:r w:rsidRPr="00206137">
        <w:rPr>
          <w:rFonts w:ascii="Times New Roman" w:hAnsi="Times New Roman" w:cs="Times New Roman"/>
          <w:noProof/>
          <w:color w:val="000000" w:themeColor="text1"/>
        </w:rPr>
        <w:drawing>
          <wp:inline distT="0" distB="0" distL="0" distR="0" wp14:anchorId="2177D877" wp14:editId="0DB8074E">
            <wp:extent cx="5303520" cy="2651760"/>
            <wp:effectExtent l="0" t="0" r="0" b="0"/>
            <wp:docPr id="173724806" name="Picture 17372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3520" cy="2651760"/>
                    </a:xfrm>
                    <a:prstGeom prst="rect">
                      <a:avLst/>
                    </a:prstGeom>
                  </pic:spPr>
                </pic:pic>
              </a:graphicData>
            </a:graphic>
          </wp:inline>
        </w:drawing>
      </w:r>
    </w:p>
    <w:p w14:paraId="62353331" w14:textId="77777777" w:rsidR="00C33BAE" w:rsidRPr="00206137" w:rsidRDefault="00000000">
      <w:pPr>
        <w:spacing w:after="200"/>
        <w:jc w:val="center"/>
        <w:rPr>
          <w:rFonts w:ascii="Times New Roman" w:hAnsi="Times New Roman" w:cs="Times New Roman"/>
          <w:color w:val="000000" w:themeColor="text1"/>
        </w:rPr>
      </w:pPr>
      <w:r w:rsidRPr="00206137">
        <w:rPr>
          <w:rFonts w:ascii="Times New Roman" w:hAnsi="Times New Roman" w:cs="Times New Roman"/>
          <w:i/>
          <w:iCs/>
          <w:color w:val="000000" w:themeColor="text1"/>
          <w:sz w:val="16"/>
          <w:szCs w:val="16"/>
        </w:rPr>
        <w:t>Figure 5. Estimated effect of secondary completion on NEET probability, by caste. Source: Author’s calculations, NLSS IV 2022/23.</w:t>
      </w:r>
    </w:p>
    <w:p w14:paraId="2DF9CAB3" w14:textId="77777777" w:rsidR="00C33BAE" w:rsidRPr="00206137" w:rsidRDefault="00000000">
      <w:pPr>
        <w:pStyle w:val="Heading2"/>
        <w:rPr>
          <w:rFonts w:ascii="Times New Roman" w:hAnsi="Times New Roman" w:cs="Times New Roman"/>
          <w:color w:val="000000" w:themeColor="text1"/>
        </w:rPr>
      </w:pPr>
      <w:r w:rsidRPr="00206137">
        <w:rPr>
          <w:rFonts w:ascii="Times New Roman" w:hAnsi="Times New Roman" w:cs="Times New Roman"/>
          <w:color w:val="000000" w:themeColor="text1"/>
        </w:rPr>
        <w:t>4.4 The returns to schooling rise with each level</w:t>
      </w:r>
    </w:p>
    <w:p w14:paraId="62E1FE15"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Each additional year of schooling is associated with a 14.5 per cent average increase in girls’ lifetime earnings. Critically, these returns are convex — they rise with the level of education, from roughly 8 per cent at primary, to 27 per cent at </w:t>
      </w:r>
      <w:proofErr w:type="gramStart"/>
      <w:r w:rsidRPr="00206137">
        <w:rPr>
          <w:rFonts w:ascii="Times New Roman" w:hAnsi="Times New Roman" w:cs="Times New Roman"/>
          <w:color w:val="000000" w:themeColor="text1"/>
        </w:rPr>
        <w:t>secondary,</w:t>
      </w:r>
      <w:proofErr w:type="gramEnd"/>
      <w:r w:rsidRPr="00206137">
        <w:rPr>
          <w:rFonts w:ascii="Times New Roman" w:hAnsi="Times New Roman" w:cs="Times New Roman"/>
          <w:color w:val="000000" w:themeColor="text1"/>
        </w:rPr>
        <w:t xml:space="preserve"> to 35 per cent at higher secondary. This means the economic loss from a girl leaving school is greatest precisely at the upper-secondary level, where Nepal’s gender gap in the school-to-work transition is widening.</w:t>
      </w:r>
    </w:p>
    <w:p w14:paraId="12DD494B" w14:textId="77777777" w:rsidR="00C33BAE" w:rsidRPr="00206137" w:rsidRDefault="00000000">
      <w:pPr>
        <w:spacing w:before="120" w:after="60"/>
        <w:jc w:val="center"/>
        <w:rPr>
          <w:rFonts w:ascii="Times New Roman" w:hAnsi="Times New Roman" w:cs="Times New Roman"/>
          <w:color w:val="000000" w:themeColor="text1"/>
        </w:rPr>
      </w:pPr>
      <w:r w:rsidRPr="00206137">
        <w:rPr>
          <w:rFonts w:ascii="Times New Roman" w:hAnsi="Times New Roman" w:cs="Times New Roman"/>
          <w:noProof/>
          <w:color w:val="000000" w:themeColor="text1"/>
        </w:rPr>
        <w:drawing>
          <wp:inline distT="0" distB="0" distL="0" distR="0" wp14:anchorId="67FCE60B" wp14:editId="6C12225D">
            <wp:extent cx="5303520" cy="2651760"/>
            <wp:effectExtent l="0" t="0" r="0" b="0"/>
            <wp:docPr id="1078137328" name="Picture 1078137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3520" cy="2651760"/>
                    </a:xfrm>
                    <a:prstGeom prst="rect">
                      <a:avLst/>
                    </a:prstGeom>
                  </pic:spPr>
                </pic:pic>
              </a:graphicData>
            </a:graphic>
          </wp:inline>
        </w:drawing>
      </w:r>
    </w:p>
    <w:p w14:paraId="4E5177AB" w14:textId="77777777" w:rsidR="00C33BAE" w:rsidRPr="00206137" w:rsidRDefault="00000000">
      <w:pPr>
        <w:spacing w:after="200"/>
        <w:jc w:val="center"/>
        <w:rPr>
          <w:rFonts w:ascii="Times New Roman" w:hAnsi="Times New Roman" w:cs="Times New Roman"/>
          <w:color w:val="000000" w:themeColor="text1"/>
        </w:rPr>
      </w:pPr>
      <w:r w:rsidRPr="00206137">
        <w:rPr>
          <w:rFonts w:ascii="Times New Roman" w:hAnsi="Times New Roman" w:cs="Times New Roman"/>
          <w:i/>
          <w:iCs/>
          <w:color w:val="000000" w:themeColor="text1"/>
          <w:sz w:val="16"/>
          <w:szCs w:val="16"/>
        </w:rPr>
        <w:t>Figure 6. Projected lifetime earnings by years of schooling and sex. Source: Author’s calculations, NLSS IV 2022/23.</w:t>
      </w:r>
    </w:p>
    <w:p w14:paraId="2668C885" w14:textId="77777777" w:rsidR="00C33BAE" w:rsidRPr="00206137" w:rsidRDefault="00000000">
      <w:pPr>
        <w:pStyle w:val="Heading2"/>
        <w:rPr>
          <w:rFonts w:ascii="Times New Roman" w:hAnsi="Times New Roman" w:cs="Times New Roman"/>
          <w:color w:val="000000" w:themeColor="text1"/>
        </w:rPr>
      </w:pPr>
      <w:r w:rsidRPr="00206137">
        <w:rPr>
          <w:rFonts w:ascii="Times New Roman" w:hAnsi="Times New Roman" w:cs="Times New Roman"/>
          <w:color w:val="000000" w:themeColor="text1"/>
        </w:rPr>
        <w:t>4.5 The cost of inaction</w:t>
      </w:r>
    </w:p>
    <w:p w14:paraId="1CE1514A"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Combining the causal effect of education, the conservative wage return, and the size of the affected population (680,231 girls), we estimate that Nepal forgoes approximately </w:t>
      </w:r>
      <w:r w:rsidRPr="00206137">
        <w:rPr>
          <w:rFonts w:ascii="Times New Roman" w:hAnsi="Times New Roman" w:cs="Times New Roman"/>
          <w:b/>
          <w:bCs/>
          <w:color w:val="000000" w:themeColor="text1"/>
        </w:rPr>
        <w:t xml:space="preserve">NPR 8.1 billion (about USD 61 </w:t>
      </w:r>
      <w:r w:rsidRPr="00206137">
        <w:rPr>
          <w:rFonts w:ascii="Times New Roman" w:hAnsi="Times New Roman" w:cs="Times New Roman"/>
          <w:b/>
          <w:bCs/>
          <w:color w:val="000000" w:themeColor="text1"/>
        </w:rPr>
        <w:lastRenderedPageBreak/>
        <w:t>million)</w:t>
      </w:r>
      <w:r w:rsidRPr="00206137">
        <w:rPr>
          <w:rFonts w:ascii="Times New Roman" w:hAnsi="Times New Roman" w:cs="Times New Roman"/>
          <w:color w:val="000000" w:themeColor="text1"/>
        </w:rPr>
        <w:t xml:space="preserve"> in lifetime productivity for each cohort of adolescent girls who do not complete secondary education.</w:t>
      </w:r>
    </w:p>
    <w:p w14:paraId="0AF8357D" w14:textId="77777777" w:rsidR="00C33BAE" w:rsidRPr="00206137" w:rsidRDefault="00000000">
      <w:pPr>
        <w:spacing w:before="120" w:after="60"/>
        <w:jc w:val="center"/>
        <w:rPr>
          <w:rFonts w:ascii="Times New Roman" w:hAnsi="Times New Roman" w:cs="Times New Roman"/>
          <w:color w:val="000000" w:themeColor="text1"/>
        </w:rPr>
      </w:pPr>
      <w:r w:rsidRPr="00206137">
        <w:rPr>
          <w:rFonts w:ascii="Times New Roman" w:hAnsi="Times New Roman" w:cs="Times New Roman"/>
          <w:noProof/>
          <w:color w:val="000000" w:themeColor="text1"/>
        </w:rPr>
        <w:drawing>
          <wp:inline distT="0" distB="0" distL="0" distR="0" wp14:anchorId="0EBD38FB" wp14:editId="0C3FBDF1">
            <wp:extent cx="5669280" cy="2834640"/>
            <wp:effectExtent l="0" t="0" r="0" b="0"/>
            <wp:docPr id="1799733671" name="Picture 179973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9280" cy="2834640"/>
                    </a:xfrm>
                    <a:prstGeom prst="rect">
                      <a:avLst/>
                    </a:prstGeom>
                  </pic:spPr>
                </pic:pic>
              </a:graphicData>
            </a:graphic>
          </wp:inline>
        </w:drawing>
      </w:r>
    </w:p>
    <w:p w14:paraId="6F28B953" w14:textId="77777777" w:rsidR="00C33BAE" w:rsidRPr="00206137" w:rsidRDefault="00000000">
      <w:pPr>
        <w:spacing w:after="200"/>
        <w:jc w:val="center"/>
        <w:rPr>
          <w:rFonts w:ascii="Times New Roman" w:hAnsi="Times New Roman" w:cs="Times New Roman"/>
          <w:color w:val="000000" w:themeColor="text1"/>
        </w:rPr>
      </w:pPr>
      <w:r w:rsidRPr="00206137">
        <w:rPr>
          <w:rFonts w:ascii="Times New Roman" w:hAnsi="Times New Roman" w:cs="Times New Roman"/>
          <w:i/>
          <w:iCs/>
          <w:color w:val="000000" w:themeColor="text1"/>
          <w:sz w:val="16"/>
          <w:szCs w:val="16"/>
        </w:rPr>
        <w:t xml:space="preserve">Figure 7. The annual cost of inaction compared with national budget lines. Sources: This analysis (NLSS IV 2022/23); health budget </w:t>
      </w:r>
      <w:proofErr w:type="spellStart"/>
      <w:r w:rsidRPr="00206137">
        <w:rPr>
          <w:rFonts w:ascii="Times New Roman" w:hAnsi="Times New Roman" w:cs="Times New Roman"/>
          <w:i/>
          <w:iCs/>
          <w:color w:val="000000" w:themeColor="text1"/>
          <w:sz w:val="16"/>
          <w:szCs w:val="16"/>
        </w:rPr>
        <w:t>MoHP</w:t>
      </w:r>
      <w:proofErr w:type="spellEnd"/>
      <w:r w:rsidRPr="00206137">
        <w:rPr>
          <w:rFonts w:ascii="Times New Roman" w:hAnsi="Times New Roman" w:cs="Times New Roman"/>
          <w:i/>
          <w:iCs/>
          <w:color w:val="000000" w:themeColor="text1"/>
          <w:sz w:val="16"/>
          <w:szCs w:val="16"/>
        </w:rPr>
        <w:t xml:space="preserve"> FY2024/25; social security allowances UNICEF Nepal FY2022/23; education budget MoF FY2024/25. See source notes.</w:t>
      </w:r>
    </w:p>
    <w:p w14:paraId="085A98D8"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This figure is equivalent to about 9.4 per cent of the annual health-sector budget, 7.6 per cent of the social security allowance budget, and 4.0 per cent of the education budget. It excludes the substantial non-market benefits of girls’ education — lower fertility, better child health, reduced adolescent pregnancy, and intergenerational gains — and so understates the true cost.</w:t>
      </w:r>
    </w:p>
    <w:p w14:paraId="16A65B55"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rPr>
        <w:br w:type="page"/>
      </w:r>
    </w:p>
    <w:p w14:paraId="070A7C96" w14:textId="77777777" w:rsidR="00C33BAE" w:rsidRPr="00206137" w:rsidRDefault="00000000">
      <w:pPr>
        <w:pStyle w:val="Heading1"/>
        <w:rPr>
          <w:rFonts w:ascii="Times New Roman" w:hAnsi="Times New Roman" w:cs="Times New Roman"/>
          <w:color w:val="000000" w:themeColor="text1"/>
        </w:rPr>
      </w:pPr>
      <w:r w:rsidRPr="00206137">
        <w:rPr>
          <w:rFonts w:ascii="Times New Roman" w:hAnsi="Times New Roman" w:cs="Times New Roman"/>
          <w:color w:val="000000" w:themeColor="text1"/>
        </w:rPr>
        <w:lastRenderedPageBreak/>
        <w:t>5. Policy Recommendations</w:t>
      </w:r>
    </w:p>
    <w:p w14:paraId="385A3C84"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The findings point to four priority areas for investment. They are complementary: education alone is necessary but not sufficient, because the binding constraints — marriage and the absence of economic opportunity — sit outside the classroom.</w:t>
      </w:r>
    </w:p>
    <w:p w14:paraId="78D06C5E" w14:textId="77777777" w:rsidR="00C33BAE" w:rsidRPr="00206137" w:rsidRDefault="00000000">
      <w:pPr>
        <w:pStyle w:val="ListParagraph"/>
        <w:numPr>
          <w:ilvl w:val="0"/>
          <w:numId w:val="4"/>
        </w:numPr>
        <w:spacing w:after="100" w:line="276" w:lineRule="auto"/>
        <w:rPr>
          <w:rFonts w:ascii="Times New Roman" w:hAnsi="Times New Roman" w:cs="Times New Roman"/>
          <w:color w:val="000000" w:themeColor="text1"/>
        </w:rPr>
      </w:pPr>
      <w:r w:rsidRPr="00206137">
        <w:rPr>
          <w:rFonts w:ascii="Times New Roman" w:hAnsi="Times New Roman" w:cs="Times New Roman"/>
          <w:b/>
          <w:bCs/>
          <w:color w:val="000000" w:themeColor="text1"/>
        </w:rPr>
        <w:t xml:space="preserve">Education — universal secondary completion with year-by-year retention. </w:t>
      </w:r>
      <w:r w:rsidRPr="00206137">
        <w:rPr>
          <w:rFonts w:ascii="Times New Roman" w:hAnsi="Times New Roman" w:cs="Times New Roman"/>
          <w:color w:val="000000" w:themeColor="text1"/>
        </w:rPr>
        <w:t>Because returns are convex, programmes should reward every year of schooling retained, with the largest gains concentrated at upper-secondary and tertiary level. Conditional support should target retention through the post-18 transition.</w:t>
      </w:r>
    </w:p>
    <w:p w14:paraId="6EDA38DF" w14:textId="77777777" w:rsidR="00C33BAE" w:rsidRPr="00206137" w:rsidRDefault="00000000">
      <w:pPr>
        <w:pStyle w:val="ListParagraph"/>
        <w:numPr>
          <w:ilvl w:val="0"/>
          <w:numId w:val="4"/>
        </w:numPr>
        <w:spacing w:after="100" w:line="276" w:lineRule="auto"/>
        <w:rPr>
          <w:rFonts w:ascii="Times New Roman" w:hAnsi="Times New Roman" w:cs="Times New Roman"/>
          <w:color w:val="000000" w:themeColor="text1"/>
        </w:rPr>
      </w:pPr>
      <w:r w:rsidRPr="00206137">
        <w:rPr>
          <w:rFonts w:ascii="Times New Roman" w:hAnsi="Times New Roman" w:cs="Times New Roman"/>
          <w:b/>
          <w:bCs/>
          <w:color w:val="000000" w:themeColor="text1"/>
        </w:rPr>
        <w:t xml:space="preserve">Child marriage — treat prevention as an economic priority. </w:t>
      </w:r>
      <w:r w:rsidRPr="00206137">
        <w:rPr>
          <w:rFonts w:ascii="Times New Roman" w:hAnsi="Times New Roman" w:cs="Times New Roman"/>
          <w:color w:val="000000" w:themeColor="text1"/>
        </w:rPr>
        <w:t>Marriage is the single largest driver of girls’ exclusion, and its prevalence rises sharply after age 18. Enforcement of existing legislation, concentrated in the provinces with the widest gaps (Madhesh and Lumbini), should reach girls before the transition.</w:t>
      </w:r>
    </w:p>
    <w:p w14:paraId="44C4C46A" w14:textId="77777777" w:rsidR="00C33BAE" w:rsidRPr="00206137" w:rsidRDefault="00000000">
      <w:pPr>
        <w:pStyle w:val="ListParagraph"/>
        <w:numPr>
          <w:ilvl w:val="0"/>
          <w:numId w:val="4"/>
        </w:numPr>
        <w:spacing w:after="100" w:line="276" w:lineRule="auto"/>
        <w:rPr>
          <w:rFonts w:ascii="Times New Roman" w:hAnsi="Times New Roman" w:cs="Times New Roman"/>
          <w:color w:val="000000" w:themeColor="text1"/>
        </w:rPr>
      </w:pPr>
      <w:r w:rsidRPr="00206137">
        <w:rPr>
          <w:rFonts w:ascii="Times New Roman" w:hAnsi="Times New Roman" w:cs="Times New Roman"/>
          <w:b/>
          <w:bCs/>
          <w:color w:val="000000" w:themeColor="text1"/>
        </w:rPr>
        <w:t xml:space="preserve">Livelihoods — bridge programmes, vocational training, and economic opportunity. </w:t>
      </w:r>
      <w:r w:rsidRPr="00206137">
        <w:rPr>
          <w:rFonts w:ascii="Times New Roman" w:hAnsi="Times New Roman" w:cs="Times New Roman"/>
          <w:color w:val="000000" w:themeColor="text1"/>
        </w:rPr>
        <w:t>Because returns are concentrated in formal wage work, which absorbs only a minority of women, education must be paired with demand-side measures: skills bridges from school to work, vocational training, and second-chance pathways for those who have already left.</w:t>
      </w:r>
    </w:p>
    <w:p w14:paraId="4BAFE4A8" w14:textId="77777777" w:rsidR="00C33BAE" w:rsidRPr="00206137" w:rsidRDefault="00000000">
      <w:pPr>
        <w:pStyle w:val="ListParagraph"/>
        <w:numPr>
          <w:ilvl w:val="0"/>
          <w:numId w:val="4"/>
        </w:numPr>
        <w:spacing w:after="100" w:line="276" w:lineRule="auto"/>
        <w:rPr>
          <w:rFonts w:ascii="Times New Roman" w:hAnsi="Times New Roman" w:cs="Times New Roman"/>
          <w:color w:val="000000" w:themeColor="text1"/>
        </w:rPr>
      </w:pPr>
      <w:r w:rsidRPr="00206137">
        <w:rPr>
          <w:rFonts w:ascii="Times New Roman" w:hAnsi="Times New Roman" w:cs="Times New Roman"/>
          <w:b/>
          <w:bCs/>
          <w:color w:val="000000" w:themeColor="text1"/>
        </w:rPr>
        <w:t xml:space="preserve">Equity — close the gaps facing Dalit girls. </w:t>
      </w:r>
      <w:r w:rsidRPr="00206137">
        <w:rPr>
          <w:rFonts w:ascii="Times New Roman" w:hAnsi="Times New Roman" w:cs="Times New Roman"/>
          <w:color w:val="000000" w:themeColor="text1"/>
        </w:rPr>
        <w:t>Education alone leaves Dalit women with a residual labour-market disadvantage. Pair education investment with apprenticeships, targeted scholarships, and anti-discrimination measures.</w:t>
      </w:r>
    </w:p>
    <w:p w14:paraId="35E3EC2E"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Taken together, these investments are strongly cost-effective. Any secondary-completion programme costing less than the per-girl break-even — on the order of USD 90 in cumulative lifetime social spending — would yield a positive economic return in pure productivity terms, before counting the substantial health, fertility, and intergenerational benefits that this analysis does not monetise.</w:t>
      </w:r>
    </w:p>
    <w:p w14:paraId="03E870D0"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rPr>
        <w:br w:type="page"/>
      </w:r>
    </w:p>
    <w:p w14:paraId="073C95B6" w14:textId="77777777" w:rsidR="00C33BAE" w:rsidRPr="00206137" w:rsidRDefault="00000000">
      <w:pPr>
        <w:pStyle w:val="Heading1"/>
        <w:rPr>
          <w:rFonts w:ascii="Times New Roman" w:hAnsi="Times New Roman" w:cs="Times New Roman"/>
          <w:color w:val="000000" w:themeColor="text1"/>
        </w:rPr>
      </w:pPr>
      <w:r w:rsidRPr="00206137">
        <w:rPr>
          <w:rFonts w:ascii="Times New Roman" w:hAnsi="Times New Roman" w:cs="Times New Roman"/>
          <w:color w:val="000000" w:themeColor="text1"/>
        </w:rPr>
        <w:lastRenderedPageBreak/>
        <w:t>Annex: Technical Detail</w:t>
      </w:r>
    </w:p>
    <w:p w14:paraId="3A4818CC" w14:textId="77777777" w:rsidR="00C33BAE" w:rsidRPr="00206137" w:rsidRDefault="00000000">
      <w:pPr>
        <w:pStyle w:val="Heading2"/>
        <w:rPr>
          <w:rFonts w:ascii="Times New Roman" w:hAnsi="Times New Roman" w:cs="Times New Roman"/>
          <w:color w:val="000000" w:themeColor="text1"/>
        </w:rPr>
      </w:pPr>
      <w:r w:rsidRPr="00206137">
        <w:rPr>
          <w:rFonts w:ascii="Times New Roman" w:hAnsi="Times New Roman" w:cs="Times New Roman"/>
          <w:color w:val="000000" w:themeColor="text1"/>
        </w:rPr>
        <w:t>A.1 The causal-forest estimate</w:t>
      </w:r>
    </w:p>
    <w:p w14:paraId="7AEC0DFE"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The effect of secondary education on NEET status is estimated using a generalised random forest (Wager and Athey 2018) on the sample of women aged 15–64 (n = 13,586). The treatment is secondary completion; the outcome is NEET status; controls include age, marriage, caste, wealth, disability, and province. The estimated average treatment effect is a reduction of 13.2 percentage points in NEET probability, stable across provinces and caste groups. This design addresses selection on observable characteristics; it is not a randomised experiment, and residual unobserved confounding cannot be fully excluded.</w:t>
      </w:r>
    </w:p>
    <w:p w14:paraId="4CE1B8D7" w14:textId="77777777" w:rsidR="00C33BAE" w:rsidRPr="00206137" w:rsidRDefault="00000000">
      <w:pPr>
        <w:pStyle w:val="Heading2"/>
        <w:rPr>
          <w:rFonts w:ascii="Times New Roman" w:hAnsi="Times New Roman" w:cs="Times New Roman"/>
          <w:color w:val="000000" w:themeColor="text1"/>
        </w:rPr>
      </w:pPr>
      <w:r w:rsidRPr="00206137">
        <w:rPr>
          <w:rFonts w:ascii="Times New Roman" w:hAnsi="Times New Roman" w:cs="Times New Roman"/>
          <w:color w:val="000000" w:themeColor="text1"/>
        </w:rPr>
        <w:t>A.2 The Mincer wage equation and Heckman selection model</w:t>
      </w:r>
    </w:p>
    <w:p w14:paraId="0A7CFBC8"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Wage returns are estimated from a Mincer equation regressing log monthly wages on years of schooling (centred, with a quadratic term), experience, experience squared, and controls for rural residence, caste, and province, using survey weights and heteroskedasticity-robust (HC1) standard errors. The quadratic term captures the convexity of returns.</w:t>
      </w:r>
    </w:p>
    <w:p w14:paraId="77D3DBCE"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Because wages are observed only for the approximately 25 per cent of working-age women in paid employment, we test for sample-selection bias using a Heckman (1979) two-step model. The selection equation models the probability of being observed in the wage sample, with exclusion restrictions — the number of children under five in the household, the number of other adult women, household size, and wealth quintile — that plausibly affect labour-market participation but not the wage itself.</w:t>
      </w:r>
    </w:p>
    <w:p w14:paraId="15A457DD"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b/>
          <w:bCs/>
          <w:color w:val="000000" w:themeColor="text1"/>
        </w:rPr>
        <w:t xml:space="preserve">Result: </w:t>
      </w:r>
      <w:r w:rsidRPr="00206137">
        <w:rPr>
          <w:rFonts w:ascii="Times New Roman" w:hAnsi="Times New Roman" w:cs="Times New Roman"/>
          <w:color w:val="000000" w:themeColor="text1"/>
        </w:rPr>
        <w:t>the selection term is statistically significant (correlation ρ = 0.34; inverse Mills ratio p &lt; 0.01), confirming positive selection into wage work. However, correcting for selection shifts the estimated return by less than two percentage points. The Mincer estimates are therefore robust to selection. This addresses only selection into observed wages; it is not a causal-identification claim for schooling, which rests on the causal-forest design above.</w:t>
      </w:r>
    </w:p>
    <w:p w14:paraId="5CCB6DA9" w14:textId="77777777" w:rsidR="00C33BAE" w:rsidRPr="00206137" w:rsidRDefault="00000000">
      <w:pPr>
        <w:spacing w:before="120" w:after="60"/>
        <w:jc w:val="center"/>
        <w:rPr>
          <w:rFonts w:ascii="Times New Roman" w:hAnsi="Times New Roman" w:cs="Times New Roman"/>
          <w:color w:val="000000" w:themeColor="text1"/>
        </w:rPr>
      </w:pPr>
      <w:r w:rsidRPr="00206137">
        <w:rPr>
          <w:rFonts w:ascii="Times New Roman" w:hAnsi="Times New Roman" w:cs="Times New Roman"/>
          <w:noProof/>
          <w:color w:val="000000" w:themeColor="text1"/>
        </w:rPr>
        <w:drawing>
          <wp:inline distT="0" distB="0" distL="0" distR="0" wp14:anchorId="04668857" wp14:editId="6C893783">
            <wp:extent cx="5486400" cy="2743200"/>
            <wp:effectExtent l="0" t="0" r="0" b="0"/>
            <wp:docPr id="1815270400" name="Picture 181527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743200"/>
                    </a:xfrm>
                    <a:prstGeom prst="rect">
                      <a:avLst/>
                    </a:prstGeom>
                  </pic:spPr>
                </pic:pic>
              </a:graphicData>
            </a:graphic>
          </wp:inline>
        </w:drawing>
      </w:r>
    </w:p>
    <w:p w14:paraId="033AC4F7" w14:textId="77777777" w:rsidR="00C33BAE" w:rsidRPr="00206137" w:rsidRDefault="00000000">
      <w:pPr>
        <w:spacing w:after="200"/>
        <w:jc w:val="center"/>
        <w:rPr>
          <w:rFonts w:ascii="Times New Roman" w:hAnsi="Times New Roman" w:cs="Times New Roman"/>
          <w:color w:val="000000" w:themeColor="text1"/>
        </w:rPr>
      </w:pPr>
      <w:r w:rsidRPr="00206137">
        <w:rPr>
          <w:rFonts w:ascii="Times New Roman" w:hAnsi="Times New Roman" w:cs="Times New Roman"/>
          <w:i/>
          <w:iCs/>
          <w:color w:val="000000" w:themeColor="text1"/>
          <w:sz w:val="16"/>
          <w:szCs w:val="16"/>
        </w:rPr>
        <w:t>Figure A1. Average marginal return to schooling: OLS versus Heckman selection-corrected estimates, with robustness across exclusion-restriction definitions. Source: Author’s calculations, NLSS IV 2022/23.</w:t>
      </w:r>
    </w:p>
    <w:p w14:paraId="00A2DFAC" w14:textId="77777777" w:rsidR="00C33BAE" w:rsidRPr="00206137" w:rsidRDefault="00000000">
      <w:pPr>
        <w:pStyle w:val="Heading2"/>
        <w:rPr>
          <w:rFonts w:ascii="Times New Roman" w:hAnsi="Times New Roman" w:cs="Times New Roman"/>
          <w:color w:val="000000" w:themeColor="text1"/>
        </w:rPr>
      </w:pPr>
      <w:r w:rsidRPr="00206137">
        <w:rPr>
          <w:rFonts w:ascii="Times New Roman" w:hAnsi="Times New Roman" w:cs="Times New Roman"/>
          <w:color w:val="000000" w:themeColor="text1"/>
        </w:rPr>
        <w:lastRenderedPageBreak/>
        <w:t>A.3 The cost-of-inaction calculation</w:t>
      </w:r>
    </w:p>
    <w:p w14:paraId="036B75D9"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The cost of inaction combines four elements: (</w:t>
      </w:r>
      <w:proofErr w:type="spellStart"/>
      <w:r w:rsidRPr="00206137">
        <w:rPr>
          <w:rFonts w:ascii="Times New Roman" w:hAnsi="Times New Roman" w:cs="Times New Roman"/>
          <w:color w:val="000000" w:themeColor="text1"/>
        </w:rPr>
        <w:t>i</w:t>
      </w:r>
      <w:proofErr w:type="spellEnd"/>
      <w:r w:rsidRPr="00206137">
        <w:rPr>
          <w:rFonts w:ascii="Times New Roman" w:hAnsi="Times New Roman" w:cs="Times New Roman"/>
          <w:color w:val="000000" w:themeColor="text1"/>
        </w:rPr>
        <w:t>) the causal effect of education on labour-market inclusion; (ii) a conservative 9 per cent per-year wage return (the ILO benchmark, below our own estimated returns); (iii) the median wage of women in salaried employment; and (iv) the affected population of 680,231 girls. Lifetime earnings are discounted at 5 per cent over a 35-year working horizon. The resulting figure of NPR 8.1 billion is the present value of lifetime productivity forgone by one cohort.</w:t>
      </w:r>
    </w:p>
    <w:p w14:paraId="4C94BE52" w14:textId="77777777" w:rsidR="00C33BAE" w:rsidRPr="00206137" w:rsidRDefault="00000000">
      <w:pPr>
        <w:pStyle w:val="Heading2"/>
        <w:rPr>
          <w:rFonts w:ascii="Times New Roman" w:hAnsi="Times New Roman" w:cs="Times New Roman"/>
          <w:color w:val="000000" w:themeColor="text1"/>
        </w:rPr>
      </w:pPr>
      <w:r w:rsidRPr="00206137">
        <w:rPr>
          <w:rFonts w:ascii="Times New Roman" w:hAnsi="Times New Roman" w:cs="Times New Roman"/>
          <w:color w:val="000000" w:themeColor="text1"/>
        </w:rPr>
        <w:t>A.4 Sources for budget comparisons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300"/>
        <w:gridCol w:w="3760"/>
      </w:tblGrid>
      <w:tr w:rsidR="00C33BAE" w:rsidRPr="00206137" w14:paraId="759470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0377C"/>
            <w:tcMar>
              <w:top w:w="60" w:type="dxa"/>
              <w:left w:w="100" w:type="dxa"/>
              <w:bottom w:w="60" w:type="dxa"/>
              <w:right w:w="100" w:type="dxa"/>
            </w:tcMar>
          </w:tcPr>
          <w:p w14:paraId="01563B39"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b/>
                <w:bCs/>
                <w:color w:val="000000" w:themeColor="text1"/>
                <w:sz w:val="18"/>
                <w:szCs w:val="18"/>
              </w:rPr>
              <w:t>Figure</w:t>
            </w:r>
          </w:p>
        </w:tc>
        <w:tc>
          <w:tcPr>
            <w:tcW w:w="1700" w:type="dxa"/>
            <w:tcBorders>
              <w:top w:val="single" w:sz="1" w:space="0" w:color="CCCCCC"/>
              <w:left w:val="single" w:sz="1" w:space="0" w:color="CCCCCC"/>
              <w:bottom w:val="single" w:sz="1" w:space="0" w:color="CCCCCC"/>
              <w:right w:val="single" w:sz="1" w:space="0" w:color="CCCCCC"/>
            </w:tcBorders>
            <w:shd w:val="clear" w:color="auto" w:fill="00377C"/>
            <w:tcMar>
              <w:top w:w="60" w:type="dxa"/>
              <w:left w:w="100" w:type="dxa"/>
              <w:bottom w:w="60" w:type="dxa"/>
              <w:right w:w="100" w:type="dxa"/>
            </w:tcMar>
          </w:tcPr>
          <w:p w14:paraId="642AA0D1"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b/>
                <w:bCs/>
                <w:color w:val="000000" w:themeColor="text1"/>
                <w:sz w:val="18"/>
                <w:szCs w:val="18"/>
              </w:rPr>
              <w:t>Value (NPR)</w:t>
            </w:r>
          </w:p>
        </w:tc>
        <w:tc>
          <w:tcPr>
            <w:tcW w:w="1300" w:type="dxa"/>
            <w:tcBorders>
              <w:top w:val="single" w:sz="1" w:space="0" w:color="CCCCCC"/>
              <w:left w:val="single" w:sz="1" w:space="0" w:color="CCCCCC"/>
              <w:bottom w:val="single" w:sz="1" w:space="0" w:color="CCCCCC"/>
              <w:right w:val="single" w:sz="1" w:space="0" w:color="CCCCCC"/>
            </w:tcBorders>
            <w:shd w:val="clear" w:color="auto" w:fill="00377C"/>
            <w:tcMar>
              <w:top w:w="60" w:type="dxa"/>
              <w:left w:w="100" w:type="dxa"/>
              <w:bottom w:w="60" w:type="dxa"/>
              <w:right w:w="100" w:type="dxa"/>
            </w:tcMar>
          </w:tcPr>
          <w:p w14:paraId="52686B16"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b/>
                <w:bCs/>
                <w:color w:val="000000" w:themeColor="text1"/>
                <w:sz w:val="18"/>
                <w:szCs w:val="18"/>
              </w:rPr>
              <w:t>Fiscal year</w:t>
            </w:r>
          </w:p>
        </w:tc>
        <w:tc>
          <w:tcPr>
            <w:tcW w:w="3760" w:type="dxa"/>
            <w:tcBorders>
              <w:top w:val="single" w:sz="1" w:space="0" w:color="CCCCCC"/>
              <w:left w:val="single" w:sz="1" w:space="0" w:color="CCCCCC"/>
              <w:bottom w:val="single" w:sz="1" w:space="0" w:color="CCCCCC"/>
              <w:right w:val="single" w:sz="1" w:space="0" w:color="CCCCCC"/>
            </w:tcBorders>
            <w:shd w:val="clear" w:color="auto" w:fill="00377C"/>
            <w:tcMar>
              <w:top w:w="60" w:type="dxa"/>
              <w:left w:w="100" w:type="dxa"/>
              <w:bottom w:w="60" w:type="dxa"/>
              <w:right w:w="100" w:type="dxa"/>
            </w:tcMar>
          </w:tcPr>
          <w:p w14:paraId="0AE10549"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b/>
                <w:bCs/>
                <w:color w:val="000000" w:themeColor="text1"/>
                <w:sz w:val="18"/>
                <w:szCs w:val="18"/>
              </w:rPr>
              <w:t>Source</w:t>
            </w:r>
          </w:p>
        </w:tc>
      </w:tr>
      <w:tr w:rsidR="00C33BAE" w:rsidRPr="00206137" w14:paraId="342B62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A41474"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Cost of inaction (one cohort)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B19D0D"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8.1 billion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2DFAE"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BD587"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This analysis, NLSS IV 2022/23 (NSO Nepal)</w:t>
            </w:r>
          </w:p>
        </w:tc>
      </w:tr>
      <w:tr w:rsidR="00C33BAE" w:rsidRPr="00206137" w14:paraId="34BA32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232C8"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 xml:space="preserve">Health-sector budget (total </w:t>
            </w:r>
            <w:proofErr w:type="spellStart"/>
            <w:r w:rsidRPr="00206137">
              <w:rPr>
                <w:rFonts w:ascii="Times New Roman" w:hAnsi="Times New Roman" w:cs="Times New Roman"/>
                <w:color w:val="000000" w:themeColor="text1"/>
                <w:sz w:val="18"/>
                <w:szCs w:val="18"/>
              </w:rPr>
              <w:t>MoHP</w:t>
            </w:r>
            <w:proofErr w:type="spellEnd"/>
            <w:r w:rsidRPr="00206137">
              <w:rPr>
                <w:rFonts w:ascii="Times New Roman" w:hAnsi="Times New Roman" w:cs="Times New Roman"/>
                <w:color w:val="000000" w:themeColor="text1"/>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32C12"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86.24 billion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EB3B0"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2024/25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40383C"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Ministry of Finance, reported by Kathmandu Post, 29 May 2024</w:t>
            </w:r>
          </w:p>
        </w:tc>
      </w:tr>
      <w:tr w:rsidR="00C33BAE" w:rsidRPr="00206137" w14:paraId="44E07A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382C95"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Social security allowance budget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134060"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106 billion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95A19"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2022/23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245E7"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UNICEF Nepal, Social Protection Budget Brief Update FY2022/23</w:t>
            </w:r>
          </w:p>
        </w:tc>
      </w:tr>
      <w:tr w:rsidR="00C33BAE" w:rsidRPr="00206137" w14:paraId="3B8038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B7E57E"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Education-sector budget (</w:t>
            </w:r>
            <w:proofErr w:type="spellStart"/>
            <w:r w:rsidRPr="00206137">
              <w:rPr>
                <w:rFonts w:ascii="Times New Roman" w:hAnsi="Times New Roman" w:cs="Times New Roman"/>
                <w:color w:val="000000" w:themeColor="text1"/>
                <w:sz w:val="18"/>
                <w:szCs w:val="18"/>
              </w:rPr>
              <w:t>MoEST</w:t>
            </w:r>
            <w:proofErr w:type="spellEnd"/>
            <w:r w:rsidRPr="00206137">
              <w:rPr>
                <w:rFonts w:ascii="Times New Roman" w:hAnsi="Times New Roman" w:cs="Times New Roman"/>
                <w:color w:val="000000" w:themeColor="text1"/>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EC14A1"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203.66 billion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E00FB8"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2024/25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C7FEA1" w14:textId="77777777" w:rsidR="00C33BAE" w:rsidRPr="00206137" w:rsidRDefault="00000000">
            <w:pPr>
              <w:rPr>
                <w:rFonts w:ascii="Times New Roman" w:hAnsi="Times New Roman" w:cs="Times New Roman"/>
                <w:color w:val="000000" w:themeColor="text1"/>
              </w:rPr>
            </w:pPr>
            <w:r w:rsidRPr="00206137">
              <w:rPr>
                <w:rFonts w:ascii="Times New Roman" w:hAnsi="Times New Roman" w:cs="Times New Roman"/>
                <w:color w:val="000000" w:themeColor="text1"/>
                <w:sz w:val="18"/>
                <w:szCs w:val="18"/>
              </w:rPr>
              <w:t>MoF Budget Speech FY2024/25, para 176</w:t>
            </w:r>
          </w:p>
        </w:tc>
      </w:tr>
    </w:tbl>
    <w:p w14:paraId="4111351F" w14:textId="77777777" w:rsidR="00C33BAE" w:rsidRPr="00206137" w:rsidRDefault="00000000">
      <w:pPr>
        <w:spacing w:before="120" w:after="60"/>
        <w:rPr>
          <w:rFonts w:ascii="Times New Roman" w:hAnsi="Times New Roman" w:cs="Times New Roman"/>
          <w:color w:val="000000" w:themeColor="text1"/>
        </w:rPr>
      </w:pPr>
      <w:r w:rsidRPr="00206137">
        <w:rPr>
          <w:rFonts w:ascii="Times New Roman" w:hAnsi="Times New Roman" w:cs="Times New Roman"/>
          <w:i/>
          <w:iCs/>
          <w:color w:val="000000" w:themeColor="text1"/>
          <w:sz w:val="16"/>
          <w:szCs w:val="16"/>
        </w:rPr>
        <w:t>Full source links are maintained in the project documentation (docs/SOURCES_budget_figures.md).</w:t>
      </w:r>
    </w:p>
    <w:p w14:paraId="4C2FB5C3" w14:textId="77777777" w:rsidR="00C33BAE" w:rsidRPr="00206137" w:rsidRDefault="00000000">
      <w:pPr>
        <w:pStyle w:val="Heading2"/>
        <w:rPr>
          <w:rFonts w:ascii="Times New Roman" w:hAnsi="Times New Roman" w:cs="Times New Roman"/>
          <w:color w:val="000000" w:themeColor="text1"/>
        </w:rPr>
      </w:pPr>
      <w:r w:rsidRPr="00206137">
        <w:rPr>
          <w:rFonts w:ascii="Times New Roman" w:hAnsi="Times New Roman" w:cs="Times New Roman"/>
          <w:color w:val="000000" w:themeColor="text1"/>
        </w:rPr>
        <w:t>A.5 References</w:t>
      </w:r>
    </w:p>
    <w:p w14:paraId="5D5CC8F6"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Wager, S. and Athey, S. (2018). Estimation and Inference of Heterogeneous Treatment Effects using Random Forests. </w:t>
      </w:r>
      <w:r w:rsidRPr="00206137">
        <w:rPr>
          <w:rFonts w:ascii="Times New Roman" w:hAnsi="Times New Roman" w:cs="Times New Roman"/>
          <w:i/>
          <w:iCs/>
          <w:color w:val="000000" w:themeColor="text1"/>
        </w:rPr>
        <w:t>Journal of the American Statistical Association</w:t>
      </w:r>
      <w:r w:rsidRPr="00206137">
        <w:rPr>
          <w:rFonts w:ascii="Times New Roman" w:hAnsi="Times New Roman" w:cs="Times New Roman"/>
          <w:color w:val="000000" w:themeColor="text1"/>
        </w:rPr>
        <w:t>, 113(523).</w:t>
      </w:r>
    </w:p>
    <w:p w14:paraId="4B967E60"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Heckman, J. (1979). Sample Selection Bias as a Specification Error. </w:t>
      </w:r>
      <w:proofErr w:type="spellStart"/>
      <w:r w:rsidRPr="00206137">
        <w:rPr>
          <w:rFonts w:ascii="Times New Roman" w:hAnsi="Times New Roman" w:cs="Times New Roman"/>
          <w:i/>
          <w:iCs/>
          <w:color w:val="000000" w:themeColor="text1"/>
        </w:rPr>
        <w:t>Econometrica</w:t>
      </w:r>
      <w:proofErr w:type="spellEnd"/>
      <w:r w:rsidRPr="00206137">
        <w:rPr>
          <w:rFonts w:ascii="Times New Roman" w:hAnsi="Times New Roman" w:cs="Times New Roman"/>
          <w:color w:val="000000" w:themeColor="text1"/>
        </w:rPr>
        <w:t>, 47(1).</w:t>
      </w:r>
    </w:p>
    <w:p w14:paraId="677B1020"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UNICEF (2022). </w:t>
      </w:r>
      <w:r w:rsidRPr="00206137">
        <w:rPr>
          <w:rFonts w:ascii="Times New Roman" w:hAnsi="Times New Roman" w:cs="Times New Roman"/>
          <w:i/>
          <w:iCs/>
          <w:color w:val="000000" w:themeColor="text1"/>
        </w:rPr>
        <w:t>Cost of Inaction: Girls’ Education in Afghanistan.</w:t>
      </w:r>
      <w:r w:rsidRPr="00206137">
        <w:rPr>
          <w:rFonts w:ascii="Times New Roman" w:hAnsi="Times New Roman" w:cs="Times New Roman"/>
          <w:color w:val="000000" w:themeColor="text1"/>
        </w:rPr>
        <w:t xml:space="preserve"> UNICEF.</w:t>
      </w:r>
    </w:p>
    <w:p w14:paraId="77268100"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UNICEF Nepal (2014). </w:t>
      </w:r>
      <w:r w:rsidRPr="00206137">
        <w:rPr>
          <w:rFonts w:ascii="Times New Roman" w:hAnsi="Times New Roman" w:cs="Times New Roman"/>
          <w:i/>
          <w:iCs/>
          <w:color w:val="000000" w:themeColor="text1"/>
        </w:rPr>
        <w:t>Cost of Inaction: Child Marriage in Nepal.</w:t>
      </w:r>
      <w:r w:rsidRPr="00206137">
        <w:rPr>
          <w:rFonts w:ascii="Times New Roman" w:hAnsi="Times New Roman" w:cs="Times New Roman"/>
          <w:color w:val="000000" w:themeColor="text1"/>
        </w:rPr>
        <w:t xml:space="preserve"> UNICEF.</w:t>
      </w:r>
    </w:p>
    <w:p w14:paraId="1B2FD3FD" w14:textId="77777777" w:rsidR="00C33BAE" w:rsidRPr="00206137" w:rsidRDefault="00000000">
      <w:pPr>
        <w:spacing w:after="140" w:line="276" w:lineRule="auto"/>
        <w:jc w:val="both"/>
        <w:rPr>
          <w:rFonts w:ascii="Times New Roman" w:hAnsi="Times New Roman" w:cs="Times New Roman"/>
          <w:color w:val="000000" w:themeColor="text1"/>
        </w:rPr>
      </w:pPr>
      <w:r w:rsidRPr="00206137">
        <w:rPr>
          <w:rFonts w:ascii="Times New Roman" w:hAnsi="Times New Roman" w:cs="Times New Roman"/>
          <w:color w:val="000000" w:themeColor="text1"/>
        </w:rPr>
        <w:t xml:space="preserve">National Statistics Office of Nepal (2023). </w:t>
      </w:r>
      <w:r w:rsidRPr="00206137">
        <w:rPr>
          <w:rFonts w:ascii="Times New Roman" w:hAnsi="Times New Roman" w:cs="Times New Roman"/>
          <w:i/>
          <w:iCs/>
          <w:color w:val="000000" w:themeColor="text1"/>
        </w:rPr>
        <w:t>Nepal Living Standards Survey IV (2022/23).</w:t>
      </w:r>
    </w:p>
    <w:sectPr w:rsidR="00C33BAE" w:rsidRPr="00206137">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E9B42" w14:textId="77777777" w:rsidR="00E22127" w:rsidRDefault="00E22127">
      <w:r>
        <w:separator/>
      </w:r>
    </w:p>
  </w:endnote>
  <w:endnote w:type="continuationSeparator" w:id="0">
    <w:p w14:paraId="1B9A12BE" w14:textId="77777777" w:rsidR="00E22127" w:rsidRDefault="00E22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08B5" w14:textId="77777777" w:rsidR="00C33BAE" w:rsidRDefault="00000000">
    <w:pPr>
      <w:jc w:val="center"/>
    </w:pPr>
    <w:r>
      <w:rPr>
        <w:color w:val="6C7279"/>
        <w:sz w:val="16"/>
        <w:szCs w:val="16"/>
      </w:rPr>
      <w:fldChar w:fldCharType="begin"/>
    </w:r>
    <w:r>
      <w:rPr>
        <w:color w:val="6C7279"/>
        <w:sz w:val="16"/>
        <w:szCs w:val="16"/>
      </w:rPr>
      <w:instrText>PAGE</w:instrText>
    </w:r>
    <w:r>
      <w:rPr>
        <w:color w:val="6C7279"/>
        <w:sz w:val="16"/>
        <w:szCs w:val="16"/>
      </w:rPr>
      <w:fldChar w:fldCharType="separate"/>
    </w:r>
    <w:r w:rsidR="00206137">
      <w:rPr>
        <w:noProof/>
        <w:color w:val="6C7279"/>
        <w:sz w:val="16"/>
        <w:szCs w:val="16"/>
      </w:rPr>
      <w:t>1</w:t>
    </w:r>
    <w:r>
      <w:rPr>
        <w:color w:val="6C727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1A3BE" w14:textId="77777777" w:rsidR="00E22127" w:rsidRDefault="00E22127">
      <w:r>
        <w:separator/>
      </w:r>
    </w:p>
  </w:footnote>
  <w:footnote w:type="continuationSeparator" w:id="0">
    <w:p w14:paraId="5540028D" w14:textId="77777777" w:rsidR="00E22127" w:rsidRDefault="00E221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5F6F6" w14:textId="77777777" w:rsidR="00C33BAE" w:rsidRPr="004F1A01" w:rsidRDefault="00000000">
    <w:pPr>
      <w:jc w:val="right"/>
      <w:rPr>
        <w:rFonts w:ascii="Times New Roman" w:hAnsi="Times New Roman" w:cs="Times New Roman"/>
        <w:sz w:val="18"/>
        <w:szCs w:val="18"/>
      </w:rPr>
    </w:pPr>
    <w:r w:rsidRPr="004F1A01">
      <w:rPr>
        <w:rFonts w:ascii="Times New Roman" w:hAnsi="Times New Roman" w:cs="Times New Roman"/>
        <w:color w:val="6C7279"/>
        <w:sz w:val="18"/>
        <w:szCs w:val="18"/>
      </w:rPr>
      <w:t>UNICEF Nepal · Cost of Inaction — Adolescent Girls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1EBD"/>
    <w:multiLevelType w:val="hybridMultilevel"/>
    <w:tmpl w:val="E3B4FA6E"/>
    <w:lvl w:ilvl="0" w:tplc="19401ED0">
      <w:start w:val="1"/>
      <w:numFmt w:val="decimal"/>
      <w:lvlText w:val="%1."/>
      <w:lvlJc w:val="left"/>
      <w:pPr>
        <w:ind w:left="540" w:hanging="270"/>
      </w:pPr>
    </w:lvl>
    <w:lvl w:ilvl="1" w:tplc="66147922">
      <w:numFmt w:val="decimal"/>
      <w:lvlText w:val=""/>
      <w:lvlJc w:val="left"/>
    </w:lvl>
    <w:lvl w:ilvl="2" w:tplc="8E8610AE">
      <w:numFmt w:val="decimal"/>
      <w:lvlText w:val=""/>
      <w:lvlJc w:val="left"/>
    </w:lvl>
    <w:lvl w:ilvl="3" w:tplc="1ECA6DF0">
      <w:numFmt w:val="decimal"/>
      <w:lvlText w:val=""/>
      <w:lvlJc w:val="left"/>
    </w:lvl>
    <w:lvl w:ilvl="4" w:tplc="02829358">
      <w:numFmt w:val="decimal"/>
      <w:lvlText w:val=""/>
      <w:lvlJc w:val="left"/>
    </w:lvl>
    <w:lvl w:ilvl="5" w:tplc="0F7C7D1C">
      <w:numFmt w:val="decimal"/>
      <w:lvlText w:val=""/>
      <w:lvlJc w:val="left"/>
    </w:lvl>
    <w:lvl w:ilvl="6" w:tplc="3EFA90CC">
      <w:numFmt w:val="decimal"/>
      <w:lvlText w:val=""/>
      <w:lvlJc w:val="left"/>
    </w:lvl>
    <w:lvl w:ilvl="7" w:tplc="6AAA7104">
      <w:numFmt w:val="decimal"/>
      <w:lvlText w:val=""/>
      <w:lvlJc w:val="left"/>
    </w:lvl>
    <w:lvl w:ilvl="8" w:tplc="18F84C90">
      <w:numFmt w:val="decimal"/>
      <w:lvlText w:val=""/>
      <w:lvlJc w:val="left"/>
    </w:lvl>
  </w:abstractNum>
  <w:abstractNum w:abstractNumId="1" w15:restartNumberingAfterBreak="0">
    <w:nsid w:val="2B9951CE"/>
    <w:multiLevelType w:val="hybridMultilevel"/>
    <w:tmpl w:val="475030AA"/>
    <w:lvl w:ilvl="0" w:tplc="664253D6">
      <w:start w:val="1"/>
      <w:numFmt w:val="bullet"/>
      <w:lvlText w:val="•"/>
      <w:lvlJc w:val="left"/>
      <w:pPr>
        <w:ind w:left="540" w:hanging="270"/>
      </w:pPr>
    </w:lvl>
    <w:lvl w:ilvl="1" w:tplc="C9B838DE">
      <w:numFmt w:val="decimal"/>
      <w:lvlText w:val=""/>
      <w:lvlJc w:val="left"/>
    </w:lvl>
    <w:lvl w:ilvl="2" w:tplc="06ECDC16">
      <w:numFmt w:val="decimal"/>
      <w:lvlText w:val=""/>
      <w:lvlJc w:val="left"/>
    </w:lvl>
    <w:lvl w:ilvl="3" w:tplc="FA22A630">
      <w:numFmt w:val="decimal"/>
      <w:lvlText w:val=""/>
      <w:lvlJc w:val="left"/>
    </w:lvl>
    <w:lvl w:ilvl="4" w:tplc="F9B42A1E">
      <w:numFmt w:val="decimal"/>
      <w:lvlText w:val=""/>
      <w:lvlJc w:val="left"/>
    </w:lvl>
    <w:lvl w:ilvl="5" w:tplc="47609DF6">
      <w:numFmt w:val="decimal"/>
      <w:lvlText w:val=""/>
      <w:lvlJc w:val="left"/>
    </w:lvl>
    <w:lvl w:ilvl="6" w:tplc="576E9F78">
      <w:numFmt w:val="decimal"/>
      <w:lvlText w:val=""/>
      <w:lvlJc w:val="left"/>
    </w:lvl>
    <w:lvl w:ilvl="7" w:tplc="3B745B70">
      <w:numFmt w:val="decimal"/>
      <w:lvlText w:val=""/>
      <w:lvlJc w:val="left"/>
    </w:lvl>
    <w:lvl w:ilvl="8" w:tplc="2AE27F00">
      <w:numFmt w:val="decimal"/>
      <w:lvlText w:val=""/>
      <w:lvlJc w:val="left"/>
    </w:lvl>
  </w:abstractNum>
  <w:abstractNum w:abstractNumId="2" w15:restartNumberingAfterBreak="0">
    <w:nsid w:val="37353794"/>
    <w:multiLevelType w:val="hybridMultilevel"/>
    <w:tmpl w:val="E1260E50"/>
    <w:lvl w:ilvl="0" w:tplc="7262972E">
      <w:start w:val="1"/>
      <w:numFmt w:val="bullet"/>
      <w:lvlText w:val="●"/>
      <w:lvlJc w:val="left"/>
      <w:pPr>
        <w:ind w:left="720" w:hanging="360"/>
      </w:pPr>
    </w:lvl>
    <w:lvl w:ilvl="1" w:tplc="4E50B868">
      <w:start w:val="1"/>
      <w:numFmt w:val="bullet"/>
      <w:lvlText w:val="○"/>
      <w:lvlJc w:val="left"/>
      <w:pPr>
        <w:ind w:left="1440" w:hanging="360"/>
      </w:pPr>
    </w:lvl>
    <w:lvl w:ilvl="2" w:tplc="DB8297FE">
      <w:start w:val="1"/>
      <w:numFmt w:val="bullet"/>
      <w:lvlText w:val="■"/>
      <w:lvlJc w:val="left"/>
      <w:pPr>
        <w:ind w:left="2160" w:hanging="360"/>
      </w:pPr>
    </w:lvl>
    <w:lvl w:ilvl="3" w:tplc="98988E80">
      <w:start w:val="1"/>
      <w:numFmt w:val="bullet"/>
      <w:lvlText w:val="●"/>
      <w:lvlJc w:val="left"/>
      <w:pPr>
        <w:ind w:left="2880" w:hanging="360"/>
      </w:pPr>
    </w:lvl>
    <w:lvl w:ilvl="4" w:tplc="2DDCB4EA">
      <w:start w:val="1"/>
      <w:numFmt w:val="bullet"/>
      <w:lvlText w:val="○"/>
      <w:lvlJc w:val="left"/>
      <w:pPr>
        <w:ind w:left="3600" w:hanging="360"/>
      </w:pPr>
    </w:lvl>
    <w:lvl w:ilvl="5" w:tplc="EA68594E">
      <w:start w:val="1"/>
      <w:numFmt w:val="bullet"/>
      <w:lvlText w:val="■"/>
      <w:lvlJc w:val="left"/>
      <w:pPr>
        <w:ind w:left="4320" w:hanging="360"/>
      </w:pPr>
    </w:lvl>
    <w:lvl w:ilvl="6" w:tplc="72164404">
      <w:start w:val="1"/>
      <w:numFmt w:val="bullet"/>
      <w:lvlText w:val="●"/>
      <w:lvlJc w:val="left"/>
      <w:pPr>
        <w:ind w:left="5040" w:hanging="360"/>
      </w:pPr>
    </w:lvl>
    <w:lvl w:ilvl="7" w:tplc="9A648DBE">
      <w:start w:val="1"/>
      <w:numFmt w:val="bullet"/>
      <w:lvlText w:val="●"/>
      <w:lvlJc w:val="left"/>
      <w:pPr>
        <w:ind w:left="5760" w:hanging="360"/>
      </w:pPr>
    </w:lvl>
    <w:lvl w:ilvl="8" w:tplc="2DE406C4">
      <w:start w:val="1"/>
      <w:numFmt w:val="bullet"/>
      <w:lvlText w:val="●"/>
      <w:lvlJc w:val="left"/>
      <w:pPr>
        <w:ind w:left="6480" w:hanging="360"/>
      </w:pPr>
    </w:lvl>
  </w:abstractNum>
  <w:abstractNum w:abstractNumId="3" w15:restartNumberingAfterBreak="0">
    <w:nsid w:val="62AB149C"/>
    <w:multiLevelType w:val="hybridMultilevel"/>
    <w:tmpl w:val="CE704B76"/>
    <w:lvl w:ilvl="0" w:tplc="43020D48">
      <w:start w:val="1"/>
      <w:numFmt w:val="decimal"/>
      <w:lvlText w:val="%1."/>
      <w:lvlJc w:val="left"/>
      <w:pPr>
        <w:ind w:left="540" w:hanging="270"/>
      </w:pPr>
    </w:lvl>
    <w:lvl w:ilvl="1" w:tplc="F89E5448">
      <w:numFmt w:val="decimal"/>
      <w:lvlText w:val=""/>
      <w:lvlJc w:val="left"/>
    </w:lvl>
    <w:lvl w:ilvl="2" w:tplc="E77E6632">
      <w:numFmt w:val="decimal"/>
      <w:lvlText w:val=""/>
      <w:lvlJc w:val="left"/>
    </w:lvl>
    <w:lvl w:ilvl="3" w:tplc="11C03228">
      <w:numFmt w:val="decimal"/>
      <w:lvlText w:val=""/>
      <w:lvlJc w:val="left"/>
    </w:lvl>
    <w:lvl w:ilvl="4" w:tplc="B5180D0C">
      <w:numFmt w:val="decimal"/>
      <w:lvlText w:val=""/>
      <w:lvlJc w:val="left"/>
    </w:lvl>
    <w:lvl w:ilvl="5" w:tplc="04C671A0">
      <w:numFmt w:val="decimal"/>
      <w:lvlText w:val=""/>
      <w:lvlJc w:val="left"/>
    </w:lvl>
    <w:lvl w:ilvl="6" w:tplc="76EA830E">
      <w:numFmt w:val="decimal"/>
      <w:lvlText w:val=""/>
      <w:lvlJc w:val="left"/>
    </w:lvl>
    <w:lvl w:ilvl="7" w:tplc="39CCD488">
      <w:numFmt w:val="decimal"/>
      <w:lvlText w:val=""/>
      <w:lvlJc w:val="left"/>
    </w:lvl>
    <w:lvl w:ilvl="8" w:tplc="F5625170">
      <w:numFmt w:val="decimal"/>
      <w:lvlText w:val=""/>
      <w:lvlJc w:val="left"/>
    </w:lvl>
  </w:abstractNum>
  <w:num w:numId="1" w16cid:durableId="724136508">
    <w:abstractNumId w:val="2"/>
    <w:lvlOverride w:ilvl="0">
      <w:startOverride w:val="1"/>
    </w:lvlOverride>
  </w:num>
  <w:num w:numId="2" w16cid:durableId="182287447">
    <w:abstractNumId w:val="3"/>
    <w:lvlOverride w:ilvl="0">
      <w:startOverride w:val="1"/>
    </w:lvlOverride>
  </w:num>
  <w:num w:numId="3" w16cid:durableId="1555506424">
    <w:abstractNumId w:val="1"/>
    <w:lvlOverride w:ilvl="0">
      <w:startOverride w:val="1"/>
    </w:lvlOverride>
  </w:num>
  <w:num w:numId="4" w16cid:durableId="12649231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BAE"/>
    <w:rsid w:val="00206137"/>
    <w:rsid w:val="004F1A01"/>
    <w:rsid w:val="005F1F5C"/>
    <w:rsid w:val="009F3B7B"/>
    <w:rsid w:val="00C33BAE"/>
    <w:rsid w:val="00E221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680D789"/>
  <w15:docId w15:val="{9B54E340-4C33-5648-8130-9F3197A9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377C"/>
      <w:sz w:val="28"/>
      <w:szCs w:val="28"/>
    </w:rPr>
  </w:style>
  <w:style w:type="paragraph" w:styleId="Heading2">
    <w:name w:val="heading 2"/>
    <w:uiPriority w:val="9"/>
    <w:unhideWhenUsed/>
    <w:qFormat/>
    <w:pPr>
      <w:spacing w:before="20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00377C"/>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06137"/>
    <w:pPr>
      <w:tabs>
        <w:tab w:val="center" w:pos="4513"/>
        <w:tab w:val="right" w:pos="9026"/>
      </w:tabs>
    </w:pPr>
  </w:style>
  <w:style w:type="character" w:customStyle="1" w:styleId="HeaderChar">
    <w:name w:val="Header Char"/>
    <w:basedOn w:val="DefaultParagraphFont"/>
    <w:link w:val="Header"/>
    <w:uiPriority w:val="99"/>
    <w:rsid w:val="00206137"/>
  </w:style>
  <w:style w:type="paragraph" w:styleId="Footer">
    <w:name w:val="footer"/>
    <w:basedOn w:val="Normal"/>
    <w:link w:val="FooterChar"/>
    <w:uiPriority w:val="99"/>
    <w:unhideWhenUsed/>
    <w:rsid w:val="00206137"/>
    <w:pPr>
      <w:tabs>
        <w:tab w:val="center" w:pos="4513"/>
        <w:tab w:val="right" w:pos="9026"/>
      </w:tabs>
    </w:pPr>
  </w:style>
  <w:style w:type="character" w:customStyle="1" w:styleId="FooterChar">
    <w:name w:val="Footer Char"/>
    <w:basedOn w:val="DefaultParagraphFont"/>
    <w:link w:val="Footer"/>
    <w:uiPriority w:val="99"/>
    <w:rsid w:val="00206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2776</Words>
  <Characters>15688</Characters>
  <Application>Microsoft Office Word</Application>
  <DocSecurity>0</DocSecurity>
  <Lines>280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Hernando Grueso Hurtado</cp:lastModifiedBy>
  <cp:revision>2</cp:revision>
  <dcterms:created xsi:type="dcterms:W3CDTF">2026-06-26T23:11:00Z</dcterms:created>
  <dcterms:modified xsi:type="dcterms:W3CDTF">2026-06-29T15:42:00Z</dcterms:modified>
</cp:coreProperties>
</file>