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200"/>
        <w:jc w:val="center"/>
      </w:pPr>
      <w:r>
        <w:rPr>
          <w:rFonts w:ascii="맑은 고딕" w:cs="맑은 고딕" w:eastAsia="맑은 고딕" w:hAnsi="맑은 고딕"/>
          <w:color w:val="45554C"/>
          <w:sz w:val="24"/>
          <w:szCs w:val="24"/>
        </w:rPr>
        <w:t xml:space="preserve">- AI와 함께하는 교통문제 해결을 위한 데이터 분석 공모전 -</w:t>
      </w:r>
    </w:p>
    <w:p>
      <w:pPr>
        <w:spacing w:after="900"/>
        <w:jc w:val="center"/>
      </w:pPr>
      <w:r>
        <w:rPr>
          <w:rFonts w:ascii="맑은 고딕" w:cs="맑은 고딕" w:eastAsia="맑은 고딕" w:hAnsi="맑은 고딕"/>
          <w:b/>
          <w:bCs/>
          <w:color w:val="14231B"/>
          <w:sz w:val="52"/>
          <w:szCs w:val="52"/>
        </w:rPr>
        <w:t xml:space="preserve">분석보고서</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46"/>
      </w:tblGrid>
      <w:tr>
        <w:tc>
          <w:tcPr>
            <w:tcW w:type="dxa" w:w="220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spacing w:after="0" w:line="260"/>
              <w:jc w:val="center"/>
            </w:pPr>
            <w:r>
              <w:rPr>
                <w:rFonts w:ascii="맑은 고딕" w:cs="맑은 고딕" w:eastAsia="맑은 고딕" w:hAnsi="맑은 고딕"/>
                <w:b/>
                <w:bCs/>
                <w:sz w:val="21"/>
                <w:szCs w:val="21"/>
              </w:rPr>
              <w:t xml:space="preserve">이름/팀명</w:t>
            </w:r>
          </w:p>
        </w:tc>
        <w:tc>
          <w:tcPr>
            <w:tcW w:type="dxa" w:w="7546"/>
            <w:tcBorders>
              <w:top w:val="single" w:color="B9CBBE" w:sz="4"/>
              <w:left w:val="single" w:color="B9CBBE" w:sz="4"/>
              <w:bottom w:val="single" w:color="B9CBBE" w:sz="4"/>
              <w:right w:val="single" w:color="B9CBBE" w:sz="4"/>
            </w:tcBorders>
            <w:tcMar>
              <w:top w:type="dxa" w:w="160"/>
              <w:left w:type="dxa" w:w="160"/>
              <w:bottom w:type="dxa" w:w="160"/>
              <w:right w:type="dxa" w:w="160"/>
            </w:tcMar>
          </w:tcPr>
          <w:p>
            <w:pPr>
              <w:spacing w:line="320"/>
            </w:pPr>
            <w:r>
              <w:rPr>
                <w:rFonts w:ascii="맑은 고딕" w:cs="맑은 고딕" w:eastAsia="맑은 고딕" w:hAnsi="맑은 고딕"/>
                <w:b w:val="false"/>
                <w:bCs w:val="false"/>
                <w:sz w:val="21"/>
                <w:szCs w:val="21"/>
                <w:highlight w:val="yellow"/>
              </w:rPr>
              <w:t xml:space="preserve">팀명 기재</w:t>
            </w:r>
          </w:p>
        </w:tc>
      </w:tr>
      <w:tr>
        <w:tc>
          <w:tcPr>
            <w:tcW w:type="dxa" w:w="220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spacing w:after="0" w:line="260"/>
              <w:jc w:val="center"/>
            </w:pPr>
            <w:r>
              <w:rPr>
                <w:rFonts w:ascii="맑은 고딕" w:cs="맑은 고딕" w:eastAsia="맑은 고딕" w:hAnsi="맑은 고딕"/>
                <w:b/>
                <w:bCs/>
                <w:sz w:val="21"/>
                <w:szCs w:val="21"/>
              </w:rPr>
              <w:t xml:space="preserve">주제</w:t>
            </w:r>
          </w:p>
        </w:tc>
        <w:tc>
          <w:tcPr>
            <w:tcW w:type="dxa" w:w="7546"/>
            <w:tcBorders>
              <w:top w:val="single" w:color="B9CBBE" w:sz="4"/>
              <w:left w:val="single" w:color="B9CBBE" w:sz="4"/>
              <w:bottom w:val="single" w:color="B9CBBE" w:sz="4"/>
              <w:right w:val="single" w:color="B9CBBE" w:sz="4"/>
            </w:tcBorders>
            <w:tcMar>
              <w:top w:type="dxa" w:w="160"/>
              <w:left w:type="dxa" w:w="160"/>
              <w:bottom w:type="dxa" w:w="160"/>
              <w:right w:type="dxa" w:w="160"/>
            </w:tcMar>
          </w:tcPr>
          <w:p>
            <w:pPr>
              <w:spacing w:line="320"/>
            </w:pPr>
            <w:r>
              <w:rPr>
                <w:rFonts w:ascii="맑은 고딕" w:cs="맑은 고딕" w:eastAsia="맑은 고딕" w:hAnsi="맑은 고딕"/>
                <w:b/>
                <w:bCs/>
                <w:sz w:val="21"/>
                <w:szCs w:val="21"/>
              </w:rPr>
              <w:t xml:space="preserve">부르지 않아도 오는 똑버스: 경기도 의료이동 상대적 취약지역 탐지와 병원 예약 연계 공동배차가 탄소를 줄이는 조건 탐색</w:t>
            </w:r>
          </w:p>
        </w:tc>
      </w:tr>
    </w:tbl>
    <w:p>
      <w:pPr>
        <w:spacing w:before="700"/>
      </w:pPr>
    </w:p>
    <w:p>
      <w:pPr>
        <w:spacing w:after="50" w:before="0" w:line="300"/>
        <w:jc w:val="both"/>
      </w:pPr>
      <w:r>
        <w:rPr>
          <w:rFonts w:ascii="맑은 고딕" w:cs="맑은 고딕" w:eastAsia="맑은 고딕" w:hAnsi="맑은 고딕"/>
          <w:color w:val="45554C"/>
          <w:sz w:val="18"/>
          <w:szCs w:val="18"/>
        </w:rPr>
        <w:t xml:space="preserve">요약 — 경기도 읍·면·동 600곳의 공개데이터를 결합해 비지도 학습(K-평균)으로 의료이동 취약 유형을 찾고 상대적 취약지역 120곳과 고령 고립형 68곳(부트스트랩 안정성 0.95)을 도출했다. 연천 시뮬레이션에서 고정 인원 기준 공동배차는 탄소를 늘렸다(대표 조건 +128%). 15개 시군 6,000개 운영 시나리오로 학습한 XGBoost 대리모델(시군 단위 교차검증 R² 0.66~0.91)과 SHAP 분석에서 성과를 좌우한 것은 지역 특성보다 </w:t>
      </w:r>
      <w:r>
        <w:rPr>
          <w:rFonts w:ascii="맑은 고딕" w:cs="맑은 고딕" w:eastAsia="맑은 고딕" w:hAnsi="맑은 고딕"/>
          <w:b/>
          <w:bCs/>
          <w:color w:val="45554C"/>
          <w:sz w:val="18"/>
          <w:szCs w:val="18"/>
        </w:rPr>
        <w:t xml:space="preserve">배차 규칙·차량 전환율·차종</w:t>
      </w:r>
      <w:r>
        <w:rPr>
          <w:rFonts w:ascii="맑은 고딕" w:cs="맑은 고딕" w:eastAsia="맑은 고딕" w:hAnsi="맑은 고딕"/>
          <w:color w:val="45554C"/>
          <w:sz w:val="18"/>
          <w:szCs w:val="18"/>
        </w:rPr>
        <w:t xml:space="preserve">이었다. 현행 조건(경유 7인승·승객 6석, 전환율 21.3%)에서는 15개 시군 모두 손익분기를 넘는 묶음이 없었고, 전기·승객 11석·전환율 40%에서는 15개 시군의 수송률이 44~90%, 탄소 변화가 −10%(이천)~−48%(양평)로 계산됐다. 그래서 획일적 출발 기준 대신 </w:t>
      </w:r>
      <w:r>
        <w:rPr>
          <w:rFonts w:ascii="맑은 고딕" w:cs="맑은 고딕" w:eastAsia="맑은 고딕" w:hAnsi="맑은 고딕"/>
          <w:b/>
          <w:bCs/>
          <w:color w:val="45554C"/>
          <w:sz w:val="18"/>
          <w:szCs w:val="18"/>
        </w:rPr>
        <w:t xml:space="preserve">시군마다 공동배차·차량 조정·전환율 실측 시범·대체 서비스 중 하나를 고르고 시범 데이터로 다시 보정하는 순환형 체계</w:t>
      </w:r>
      <w:r>
        <w:rPr>
          <w:rFonts w:ascii="맑은 고딕" w:cs="맑은 고딕" w:eastAsia="맑은 고딕" w:hAnsi="맑은 고딕"/>
          <w:color w:val="45554C"/>
          <w:sz w:val="18"/>
          <w:szCs w:val="18"/>
        </w:rPr>
        <w:t xml:space="preserve">를 제안한다.</w:t>
      </w:r>
    </w:p>
    <w:p>
      <w:r>
        <w:br w:type="page"/>
      </w:r>
    </w:p>
    <w:p>
      <w:pPr>
        <w:sectPr>
          <w:pgSz w:w="11906" w:h="16838" w:orient="portrait"/>
          <w:pgMar w:top="1134" w:right="1080" w:bottom="1134" w:left="1080" w:header="708" w:footer="708" w:gutter="0"/>
          <w:pgNumType/>
          <w:docGrid w:linePitch="360"/>
        </w:sectPr>
      </w:pP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1. </w:t>
      </w:r>
      <w:r>
        <w:rPr>
          <w:rFonts w:ascii="맑은 고딕" w:cs="맑은 고딕" w:eastAsia="맑은 고딕" w:hAnsi="맑은 고딕"/>
          <w:b/>
          <w:bCs/>
          <w:color w:val="1F5D3C"/>
          <w:sz w:val="24"/>
          <w:szCs w:val="24"/>
        </w:rPr>
        <w:t xml:space="preserve">분석 배경 및 목적</w:t>
      </w:r>
    </w:p>
    <w:p>
      <w:pPr>
        <w:spacing w:after="50" w:before="0" w:line="262"/>
        <w:jc w:val="both"/>
      </w:pPr>
      <w:r>
        <w:rPr>
          <w:rFonts w:ascii="맑은 고딕" w:cs="맑은 고딕" w:eastAsia="맑은 고딕" w:hAnsi="맑은 고딕"/>
          <w:b/>
          <w:bCs/>
          <w:sz w:val="18"/>
          <w:szCs w:val="18"/>
        </w:rPr>
        <w:t xml:space="preserve">현황과 문제점.</w:t>
      </w:r>
      <w:r>
        <w:rPr>
          <w:rFonts w:ascii="맑은 고딕" w:cs="맑은 고딕" w:eastAsia="맑은 고딕" w:hAnsi="맑은 고딕"/>
          <w:sz w:val="18"/>
          <w:szCs w:val="18"/>
        </w:rPr>
        <w:t xml:space="preserve"> 경기도 농촌의 고령운전자는 병원 같은 필수 이동을 대신할 수단이 부족해 운전을 쉽게 그만두지 못한다. 2019년 경기도 발표 자료에 따르면 2018년 도내 교통사고 사망자 678명 가운데 고령운전자 사고 사망자는 112명(16.5%)으로 고령 면허소지자 비중(8.1%)의 두 배를 넘었고, 2015~2018년 고령운전자 사고는 37.3% 늘었다(전체 사고 +0.9%)[1].</w:t>
      </w:r>
    </w:p>
    <w:p>
      <w:pPr>
        <w:spacing w:after="50" w:before="0" w:line="262"/>
        <w:jc w:val="both"/>
      </w:pPr>
      <w:r>
        <w:rPr>
          <w:rFonts w:ascii="맑은 고딕" w:cs="맑은 고딕" w:eastAsia="맑은 고딕" w:hAnsi="맑은 고딕"/>
          <w:b/>
          <w:bCs/>
          <w:sz w:val="18"/>
          <w:szCs w:val="18"/>
        </w:rPr>
        <w:t xml:space="preserve">왜 병원 이동인가.</w:t>
      </w:r>
      <w:r>
        <w:rPr>
          <w:rFonts w:ascii="맑은 고딕" w:cs="맑은 고딕" w:eastAsia="맑은 고딕" w:hAnsi="맑은 고딕"/>
          <w:sz w:val="18"/>
          <w:szCs w:val="18"/>
        </w:rPr>
        <w:t xml:space="preserve"> 병원 이동은 반복되고 예약 시간이 미리 정해져 있어 수요를 모아 공동배차하기에 알맞다. 경기도 수요응답형 버스(똑버스)에 동의한 환자의 예약 정보를 최소한으로 연계하면 고령자가 부르지 않아도 차량이 먼저 데리러 갈 수 있다.</w:t>
      </w:r>
    </w:p>
    <w:p>
      <w:pPr>
        <w:spacing w:after="50" w:before="0" w:line="262"/>
        <w:jc w:val="both"/>
      </w:pPr>
      <w:r>
        <w:rPr>
          <w:rFonts w:ascii="맑은 고딕" w:cs="맑은 고딕" w:eastAsia="맑은 고딕" w:hAnsi="맑은 고딕"/>
          <w:b/>
          <w:bCs/>
          <w:sz w:val="18"/>
          <w:szCs w:val="18"/>
        </w:rPr>
        <w:t xml:space="preserve">분석의 필요성과 참여 동기.</w:t>
      </w:r>
      <w:r>
        <w:rPr>
          <w:rFonts w:ascii="맑은 고딕" w:cs="맑은 고딕" w:eastAsia="맑은 고딕" w:hAnsi="맑은 고딕"/>
          <w:sz w:val="18"/>
          <w:szCs w:val="18"/>
        </w:rPr>
        <w:t xml:space="preserve"> 이 공모전이 묻는 이동의 격차와 탄소중립은 농촌 의료이동에서 서로 부딪힌다. 교통약자를 위해 수요응답형 버스를 보내면 접근성은 나아지지만, 수요가 적으면 빈 차 운행과 우회로 승용차보다 탄소를 더 낼 수 있다. 그래서 "똑버스를 늘리면 탄소가 준다"를 전제하지 않고 세 질문에 답한다. ① 고령자의 의료이동이 상대적으로 가장 불리한 지역은 어디인가(실증) ② 예약 연계 공동배차는 어떤 조건에서 탄소를 줄이는가 ③ 그 조건을 운영 기준으로 어떻게 바꿀 수 있는가(시뮬레이션·정책 가설). 사람 중심 이동과 사회적 형평성을 지키면서 탄소도 늘리지 않는 조건을 데이터로 찾는 것이 목적이다.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2. </w:t>
      </w:r>
      <w:r>
        <w:rPr>
          <w:rFonts w:ascii="맑은 고딕" w:cs="맑은 고딕" w:eastAsia="맑은 고딕" w:hAnsi="맑은 고딕"/>
          <w:b/>
          <w:bCs/>
          <w:color w:val="1F5D3C"/>
          <w:sz w:val="24"/>
          <w:szCs w:val="24"/>
        </w:rPr>
        <w:t xml:space="preserve">활용 데이터</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5"/>
        <w:gridCol w:w="1320"/>
        <w:gridCol w:w="1929"/>
        <w:gridCol w:w="1523"/>
        <w:gridCol w:w="2639"/>
      </w:tblGrid>
      <w:tr>
        <w:trPr>
          <w:cantSplit/>
          <w:tblHeader/>
        </w:trPr>
        <w:tc>
          <w:tcPr>
            <w:tcW w:type="dxa" w:w="2335"/>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활용 데이터(명)</w:t>
            </w:r>
          </w:p>
        </w:tc>
        <w:tc>
          <w:tcPr>
            <w:tcW w:type="dxa" w:w="132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제공기관(명)</w:t>
            </w:r>
          </w:p>
        </w:tc>
        <w:tc>
          <w:tcPr>
            <w:tcW w:type="dxa" w:w="192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출처</w:t>
            </w:r>
          </w:p>
        </w:tc>
        <w:tc>
          <w:tcPr>
            <w:tcW w:type="dxa" w:w="152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플랫폼(명)</w:t>
            </w:r>
          </w:p>
        </w:tc>
        <w:tc>
          <w:tcPr>
            <w:tcW w:type="dxa" w:w="263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URL</w:t>
            </w:r>
          </w:p>
        </w:tc>
      </w:tr>
      <w:tr>
        <w:trPr>
          <w:cantSplit/>
          <w:tblHeader w:val="off"/>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SGIS 행정구역 통계 및 경계 (행정동 경계, 성·연령별 인구, 총인구)</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국가데이터처</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통계지리정보서비스(SGIS)</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공공데이터포털</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https://www.data.go.kr/data/15129688/fileData.do</w:t>
            </w:r>
          </w:p>
        </w:tc>
      </w:tr>
      <w:tr>
        <w:trPr>
          <w:cantSplit/>
          <w:tblHeader w:val="off"/>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전국 병의원 및 약국 현황 (병원정보서비스, 진료과목정보)</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건강보험심사평가원</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병원정보서비스·의료기관별상세정보서비스</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보건의료빅데이터개방시스템</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https://opendata.hira.or.kr/op/opc/selectOpenData.do?sno=11925</w:t>
            </w:r>
          </w:p>
        </w:tc>
      </w:tr>
      <w:tr>
        <w:trPr>
          <w:cantSplit/>
          <w:tblHeader w:val="off"/>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전국 버스정류장 위치정보</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국토교통부</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TAGO 연계 지자체 버스정보시스템</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공공데이터포털</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https://www.data.go.kr/data/15067528/fileData.do</w:t>
            </w:r>
          </w:p>
        </w:tc>
      </w:tr>
    </w:tbl>
    <w:p>
      <w:pPr>
        <w:spacing w:after="50" w:before="80" w:line="262"/>
        <w:jc w:val="both"/>
      </w:pPr>
      <w:r>
        <w:rPr>
          <w:rFonts w:ascii="맑은 고딕" w:cs="맑은 고딕" w:eastAsia="맑은 고딕" w:hAnsi="맑은 고딕"/>
          <w:b/>
          <w:bCs/>
          <w:sz w:val="18"/>
          <w:szCs w:val="18"/>
        </w:rPr>
        <w:t xml:space="preserve">선정 이유·기준시점·이용조건.</w:t>
      </w:r>
      <w:r>
        <w:rPr>
          <w:rFonts w:ascii="맑은 고딕" w:cs="맑은 고딕" w:eastAsia="맑은 고딕" w:hAnsi="맑은 고딕"/>
          <w:sz w:val="18"/>
          <w:szCs w:val="18"/>
        </w:rPr>
        <w:t xml:space="preserve"> SGIS는 읍면동 경계와 5세 단위 인구를 같은 코드로 제공한다(경계 2025년 2분기·통계 2024년, 이용 제한 없음). 심평원 자료는 종별·좌표·진료과목별 전문의 수를 담는다(2026년 6월, 공공누리 제1유형). 정류장 자료는 TAGO 연계 지자체의 2025.10.31 수집본으로 경기 31개 시군 38,089곳이다(이용 제한 없음). 모두 2026년 9월 30일 로그인 없이 받았고 개인정보가 없다. 똑버스 운행·예약 자료는 공개되지 않아 가상 수요로 대체했다. 배출계수는 KTDB 차종·속도별 CO₂ 산출식[4]과 2023년 국가 전력배출계수(CO₂eq)[5]를 썼다.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3. </w:t>
      </w:r>
      <w:r>
        <w:rPr>
          <w:rFonts w:ascii="맑은 고딕" w:cs="맑은 고딕" w:eastAsia="맑은 고딕" w:hAnsi="맑은 고딕"/>
          <w:b/>
          <w:bCs/>
          <w:color w:val="1F5D3C"/>
          <w:sz w:val="24"/>
          <w:szCs w:val="24"/>
        </w:rPr>
        <w:t xml:space="preserve">분석과정 및 방법</w:t>
      </w:r>
    </w:p>
    <w:p>
      <w:pPr>
        <w:spacing w:after="50" w:before="0" w:line="262"/>
        <w:jc w:val="both"/>
      </w:pPr>
      <w:r>
        <w:rPr>
          <w:rFonts w:ascii="맑은 고딕" w:cs="맑은 고딕" w:eastAsia="맑은 고딕" w:hAnsi="맑은 고딕"/>
          <w:b/>
          <w:bCs/>
          <w:sz w:val="18"/>
          <w:szCs w:val="18"/>
        </w:rPr>
        <w:t xml:space="preserve">1단계는 경기도 전체를 실제 공개데이터로 비교하는 실증 분석</w:t>
      </w:r>
      <w:r>
        <w:rPr>
          <w:rFonts w:ascii="맑은 고딕" w:cs="맑은 고딕" w:eastAsia="맑은 고딕" w:hAnsi="맑은 고딕"/>
          <w:sz w:val="18"/>
          <w:szCs w:val="18"/>
        </w:rPr>
        <w:t xml:space="preserve">, </w:t>
      </w:r>
      <w:r>
        <w:rPr>
          <w:rFonts w:ascii="맑은 고딕" w:cs="맑은 고딕" w:eastAsia="맑은 고딕" w:hAnsi="맑은 고딕"/>
          <w:b/>
          <w:bCs/>
          <w:sz w:val="18"/>
          <w:szCs w:val="18"/>
        </w:rPr>
        <w:t xml:space="preserve">2단계는 연천군에서 가상 수요로 조건을 탐색하는 정책 시뮬레이션</w:t>
      </w:r>
      <w:r>
        <w:rPr>
          <w:rFonts w:ascii="맑은 고딕" w:cs="맑은 고딕" w:eastAsia="맑은 고딕" w:hAnsi="맑은 고딕"/>
          <w:sz w:val="18"/>
          <w:szCs w:val="18"/>
        </w:rPr>
        <w:t xml:space="preserve">이다.</w:t>
      </w:r>
    </w:p>
    <w:p>
      <w:pPr>
        <w:pStyle w:val="Heading2"/>
        <w:keepNext/>
        <w:spacing w:after="50" w:before="110"/>
      </w:pPr>
      <w:r>
        <w:rPr>
          <w:rFonts w:ascii="맑은 고딕" w:cs="맑은 고딕" w:eastAsia="맑은 고딕" w:hAnsi="맑은 고딕"/>
          <w:b/>
          <w:bCs/>
          <w:color w:val="14231B"/>
          <w:sz w:val="20"/>
          <w:szCs w:val="20"/>
        </w:rPr>
        <w:t xml:space="preserve">① 전처리 (1단계)</w:t>
      </w:r>
    </w:p>
    <w:p>
      <w:pPr>
        <w:pStyle w:val="ListParagraph"/>
        <w:numPr>
          <w:ilvl w:val="0"/>
          <w:numId w:val="2"/>
        </w:numPr>
        <w:spacing w:after="24" w:line="256"/>
        <w:jc w:val="both"/>
      </w:pPr>
      <w:r>
        <w:rPr>
          <w:rFonts w:ascii="맑은 고딕" w:cs="맑은 고딕" w:eastAsia="맑은 고딕" w:hAnsi="맑은 고딕"/>
          <w:sz w:val="18"/>
          <w:szCs w:val="18"/>
        </w:rPr>
        <w:t xml:space="preserve">SGIS 경계의 경기도 행정동 601곳에 2024년 인구를 같은 코드로 결합하고, 인구가 0인 1곳(광명1동, 경계·통계 기준시점 차이)을 빼 600곳을 분석했다. 65세 이상 칸에 비밀보호값(N/A)은 없었고, 행이 없는 칸 96개(대부분 100세 이상)는 0명과 최대 4명을 모두 넣어도 순위(순위상관 1.000)와 취약지역 명단이 같았다.</w:t>
      </w:r>
    </w:p>
    <w:p>
      <w:pPr>
        <w:pStyle w:val="ListParagraph"/>
        <w:numPr>
          <w:ilvl w:val="0"/>
          <w:numId w:val="2"/>
        </w:numPr>
        <w:spacing w:after="24" w:line="256"/>
        <w:jc w:val="both"/>
      </w:pPr>
      <w:r>
        <w:rPr>
          <w:rFonts w:ascii="맑은 고딕" w:cs="맑은 고딕" w:eastAsia="맑은 고딕" w:hAnsi="맑은 고딕"/>
          <w:sz w:val="18"/>
          <w:szCs w:val="18"/>
        </w:rPr>
        <w:t xml:space="preserve">읍면동 대표점은 그 안 버스정류장 좌표의 중앙값(생활권 근사, 600곳 모두 정류장 3곳 이상)이다. 병원 목적지는 병원급 이상 중 </w:t>
      </w:r>
      <w:r>
        <w:rPr>
          <w:rFonts w:ascii="맑은 고딕" w:cs="맑은 고딕" w:eastAsia="맑은 고딕" w:hAnsi="맑은 고딕"/>
          <w:b/>
          <w:bCs/>
          <w:sz w:val="18"/>
          <w:szCs w:val="18"/>
        </w:rPr>
        <w:t xml:space="preserve">내과 전문의가 1명 이상인 곳</w:t>
      </w:r>
      <w:r>
        <w:rPr>
          <w:rFonts w:ascii="맑은 고딕" w:cs="맑은 고딕" w:eastAsia="맑은 고딕" w:hAnsi="맑은 고딕"/>
          <w:sz w:val="18"/>
          <w:szCs w:val="18"/>
        </w:rPr>
        <w:t xml:space="preserve">과 </w:t>
      </w:r>
      <w:r>
        <w:rPr>
          <w:rFonts w:ascii="맑은 고딕" w:cs="맑은 고딕" w:eastAsia="맑은 고딕" w:hAnsi="맑은 고딕"/>
          <w:b/>
          <w:bCs/>
          <w:sz w:val="18"/>
          <w:szCs w:val="18"/>
        </w:rPr>
        <w:t xml:space="preserve">종합병원급</w:t>
      </w:r>
      <w:r>
        <w:rPr>
          <w:rFonts w:ascii="맑은 고딕" w:cs="맑은 고딕" w:eastAsia="맑은 고딕" w:hAnsi="맑은 고딕"/>
          <w:sz w:val="18"/>
          <w:szCs w:val="18"/>
        </w:rPr>
        <w:t xml:space="preserve">으로 나누고 인접 시도 기관도 후보로 두었다. 거리는 직선거리 × 도로 보정 1.3의 </w:t>
      </w:r>
      <w:r>
        <w:rPr>
          <w:rFonts w:ascii="맑은 고딕" w:cs="맑은 고딕" w:eastAsia="맑은 고딕" w:hAnsi="맑은 고딕"/>
          <w:b/>
          <w:bCs/>
          <w:sz w:val="18"/>
          <w:szCs w:val="18"/>
        </w:rPr>
        <w:t xml:space="preserve">근사값</w:t>
      </w:r>
      <w:r>
        <w:rPr>
          <w:rFonts w:ascii="맑은 고딕" w:cs="맑은 고딕" w:eastAsia="맑은 고딕" w:hAnsi="맑은 고딕"/>
          <w:sz w:val="18"/>
          <w:szCs w:val="18"/>
        </w:rPr>
        <w:t xml:space="preserve">이다.</w:t>
      </w:r>
    </w:p>
    <w:p>
      <w:pPr>
        <w:pStyle w:val="Heading2"/>
        <w:keepNext/>
        <w:spacing w:after="50" w:before="110"/>
      </w:pPr>
      <w:r>
        <w:rPr>
          <w:rFonts w:ascii="맑은 고딕" w:cs="맑은 고딕" w:eastAsia="맑은 고딕" w:hAnsi="맑은 고딕"/>
          <w:b/>
          <w:bCs/>
          <w:color w:val="14231B"/>
          <w:sz w:val="20"/>
          <w:szCs w:val="20"/>
        </w:rPr>
        <w:t xml:space="preserve">② 상대적 취약도 지수와 유형화 (1단계)</w:t>
      </w:r>
    </w:p>
    <w:p>
      <w:pPr>
        <w:pBdr>
          <w:top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b/>
          <w:bCs/>
          <w:sz w:val="18"/>
          <w:szCs w:val="18"/>
        </w:rPr>
        <w:t xml:space="preserve">취약도</w:t>
      </w:r>
      <w:r>
        <w:rPr>
          <w:rFonts w:ascii="맑은 고딕" w:cs="맑은 고딕" w:eastAsia="맑은 고딕" w:hAnsi="맑은 고딕"/>
          <w:sz w:val="18"/>
          <w:szCs w:val="18"/>
        </w:rPr>
        <w:t xml:space="preserve"> = 100 × 평균(고령 요인, 병원 접근 요인, 공급 부족 요인)</w:t>
      </w:r>
    </w:p>
    <w:p>
      <w:pPr>
        <w:pBdr>
          <w:left w:val="single" w:color="3F8F5F" w:sz="18" w:space="6"/>
          <w:bottom w:val="single" w:color="B9CBBE" w:sz="4" w:space="4"/>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고령 = 65세 이상 비율 순위, 병원 접근 = (병원급 거리 순위 + 종합병원급 거리 순위) ÷ 2, 공급 부족 = 1 − 정류장 밀도 순위</w:t>
      </w:r>
    </w:p>
    <w:p>
      <w:pPr>
        <w:spacing w:after="60"/>
      </w:pPr>
    </w:p>
    <w:p>
      <w:pPr>
        <w:spacing w:after="50" w:before="0" w:line="262"/>
        <w:jc w:val="both"/>
      </w:pPr>
      <w:r>
        <w:rPr>
          <w:rFonts w:ascii="맑은 고딕" w:cs="맑은 고딕" w:eastAsia="맑은 고딕" w:hAnsi="맑은 고딕"/>
          <w:sz w:val="18"/>
          <w:szCs w:val="18"/>
        </w:rPr>
        <w:t xml:space="preserve">순위(백분위)는 경기도 600곳 안의 상대 비교이며, 상위 20%(73.5점 이상)를 </w:t>
      </w:r>
      <w:r>
        <w:rPr>
          <w:rFonts w:ascii="맑은 고딕" w:cs="맑은 고딕" w:eastAsia="맑은 고딕" w:hAnsi="맑은 고딕"/>
          <w:b/>
          <w:bCs/>
          <w:sz w:val="18"/>
          <w:szCs w:val="18"/>
        </w:rPr>
        <w:t xml:space="preserve">상대적 취약지역</w:t>
      </w:r>
      <w:r>
        <w:rPr>
          <w:rFonts w:ascii="맑은 고딕" w:cs="맑은 고딕" w:eastAsia="맑은 고딕" w:hAnsi="맑은 고딕"/>
          <w:sz w:val="18"/>
          <w:szCs w:val="18"/>
        </w:rPr>
        <w:t xml:space="preserve">으로 정의하고 가중치·정규화를 바꿔 안정성을 확인했다. 유형은 네 지표를 표준화해 </w:t>
      </w:r>
      <w:r>
        <w:rPr>
          <w:rFonts w:ascii="맑은 고딕" w:cs="맑은 고딕" w:eastAsia="맑은 고딕" w:hAnsi="맑은 고딕"/>
          <w:b/>
          <w:bCs/>
          <w:sz w:val="18"/>
          <w:szCs w:val="18"/>
        </w:rPr>
        <w:t xml:space="preserve">비지도 학습(K-평균)</w:t>
      </w:r>
      <w:r>
        <w:rPr>
          <w:rFonts w:ascii="맑은 고딕" w:cs="맑은 고딕" w:eastAsia="맑은 고딕" w:hAnsi="맑은 고딕"/>
          <w:sz w:val="18"/>
          <w:szCs w:val="18"/>
        </w:rPr>
        <w:t xml:space="preserve">으로 찾고(실루엣 k=3 0.358, k=4 0.314. k=3에서는 고령 고립형 68곳과 병원 원거리형 30곳이 한 군집 98곳으로 합쳐져 정책 우선 대상을 따로 가려낼 수 없어 k=4를 택했고, 고령 고립형 68곳은 k=3에서도 모두 같은 군집에 남는다), 방법 비교(가우시안 혼합·계층 군집), 부트스트랩 재학습 200회, 랜덤포레스트 대리모델과 순열 중요도, 주성분분석 가중치로 검증·설명했다(4장).</w:t>
      </w:r>
    </w:p>
    <w:p>
      <w:pPr>
        <w:pStyle w:val="Heading2"/>
        <w:keepNext/>
        <w:spacing w:after="50" w:before="110"/>
      </w:pPr>
      <w:r>
        <w:rPr>
          <w:rFonts w:ascii="맑은 고딕" w:cs="맑은 고딕" w:eastAsia="맑은 고딕" w:hAnsi="맑은 고딕"/>
          <w:b/>
          <w:bCs/>
          <w:color w:val="14231B"/>
          <w:sz w:val="20"/>
          <w:szCs w:val="20"/>
        </w:rPr>
        <w:t xml:space="preserve">③ 최소 합승 인원 (2단계)</w:t>
      </w:r>
    </w:p>
    <w:p>
      <w:pPr>
        <w:pBdr>
          <w:top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승용차 대체 배출 = 인원 × 차량 전환율 × 병원 왕복거리 × 승용차 운행 계수 × 승용차 배출계수</w:t>
      </w:r>
    </w:p>
    <w:p>
      <w:pPr>
        <w:pBdr>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공동배차 배출 = (마을 경유 거리 + 병원 왕복거리) × 우회계수 × 승합차 배출계수</w:t>
      </w:r>
    </w:p>
    <w:p>
      <w:pPr>
        <w:pBdr>
          <w:left w:val="single" w:color="3F8F5F" w:sz="18" w:space="6"/>
          <w:bottom w:val="single" w:color="B9CBBE" w:sz="4" w:space="4"/>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최소 합승 인원 = 공동배차 배출 &lt; 승용차 대체 배출이 되는 가장 작은 정수</w:t>
      </w:r>
    </w:p>
    <w:p>
      <w:pPr>
        <w:spacing w:after="60"/>
      </w:pPr>
    </w:p>
    <w:p>
      <w:pPr>
        <w:spacing w:after="50" w:before="0" w:line="262"/>
        <w:jc w:val="both"/>
      </w:pPr>
      <w:r>
        <w:rPr>
          <w:rFonts w:ascii="맑은 고딕" w:cs="맑은 고딕" w:eastAsia="맑은 고딕" w:hAnsi="맑은 고딕"/>
          <w:b/>
          <w:bCs/>
          <w:sz w:val="18"/>
          <w:szCs w:val="18"/>
        </w:rPr>
        <w:t xml:space="preserve">차량 전환율</w:t>
      </w:r>
      <w:r>
        <w:rPr>
          <w:rFonts w:ascii="맑은 고딕" w:cs="맑은 고딕" w:eastAsia="맑은 고딕" w:hAnsi="맑은 고딕"/>
          <w:sz w:val="18"/>
          <w:szCs w:val="18"/>
        </w:rPr>
        <w:t xml:space="preserve">(탑승자 중 원래 승용차로 갔을 비율)의 보수 21.3%는 수원시정연구원 광교 똑버스 이용자 조사(338명, 60대 이상 6.2%)의 도입 전 자가용 주이용 응답[2]으로 연천 고령 환자의 실측값이 아닌 </w:t>
      </w:r>
      <w:r>
        <w:rPr>
          <w:rFonts w:ascii="맑은 고딕" w:cs="맑은 고딕" w:eastAsia="맑은 고딕" w:hAnsi="맑은 고딕"/>
          <w:b/>
          <w:bCs/>
          <w:sz w:val="18"/>
          <w:szCs w:val="18"/>
        </w:rPr>
        <w:t xml:space="preserve">참고 가정</w:t>
      </w:r>
      <w:r>
        <w:rPr>
          <w:rFonts w:ascii="맑은 고딕" w:cs="맑은 고딕" w:eastAsia="맑은 고딕" w:hAnsi="맑은 고딕"/>
          <w:sz w:val="18"/>
          <w:szCs w:val="18"/>
        </w:rPr>
        <w:t xml:space="preserve">이며, 기본 40%·적극 60%도 가정이다. </w:t>
      </w:r>
      <w:r>
        <w:rPr>
          <w:rFonts w:ascii="맑은 고딕" w:cs="맑은 고딕" w:eastAsia="맑은 고딕" w:hAnsi="맑은 고딕"/>
          <w:b/>
          <w:bCs/>
          <w:sz w:val="18"/>
          <w:szCs w:val="18"/>
        </w:rPr>
        <w:t xml:space="preserve">승용차 운행 계수</w:t>
      </w:r>
      <w:r>
        <w:rPr>
          <w:rFonts w:ascii="맑은 고딕" w:cs="맑은 고딕" w:eastAsia="맑은 고딕" w:hAnsi="맑은 고딕"/>
          <w:sz w:val="18"/>
          <w:szCs w:val="18"/>
        </w:rPr>
        <w:t xml:space="preserve">는 없어진 승용차 운행을 세는 값으로 1.0(환자 1명당 왕복 1회)을 기본으로 0.7(동승)·2.0(보호자가 내려주고 다시 데리러 오는 2회 왕복)을 비교했다. </w:t>
      </w:r>
      <w:r>
        <w:rPr>
          <w:rFonts w:ascii="맑은 고딕" w:cs="맑은 고딕" w:eastAsia="맑은 고딕" w:hAnsi="맑은 고딕"/>
          <w:b/>
          <w:bCs/>
          <w:sz w:val="18"/>
          <w:szCs w:val="18"/>
        </w:rPr>
        <w:t xml:space="preserve">배출계수</w:t>
      </w:r>
      <w:r>
        <w:rPr>
          <w:rFonts w:ascii="맑은 고딕" w:cs="맑은 고딕" w:eastAsia="맑은 고딕" w:hAnsi="맑은 고딕"/>
          <w:sz w:val="18"/>
          <w:szCs w:val="18"/>
        </w:rPr>
        <w:t xml:space="preserve">는 KTDB 산출식[4]을 40km/h에 적용한 승용차 0.171·경유 승합 0.227 kgCO₂/km(소형 승합 식이 없어 화물 소형 경유로 대신)와, 2023년 전력배출계수 0.4173 kgCO₂eq/kWh[5] ÷ 기아 PV5 7인승 인증 복합전비 4.4 km/kWh[6] × 1.1(충전손실 가정) = 0.104 kgCO₂eq/km(전기 승합)이다. 불확실성은 범위(승용차 0.142~0.207, 경유 0.204~0.259, 전기 0.090~0.135)에서 균등분포로 추출해 보였다. 차량 제조는 제외했고, 탄소 손익분기는 재무 손익분기가 아니다.</w:t>
      </w:r>
    </w:p>
    <w:p>
      <w:pPr>
        <w:pStyle w:val="Heading2"/>
        <w:keepNext/>
        <w:spacing w:after="50" w:before="110"/>
      </w:pPr>
      <w:r>
        <w:rPr>
          <w:rFonts w:ascii="맑은 고딕" w:cs="맑은 고딕" w:eastAsia="맑은 고딕" w:hAnsi="맑은 고딕"/>
          <w:b/>
          <w:bCs/>
          <w:color w:val="14231B"/>
          <w:sz w:val="20"/>
          <w:szCs w:val="20"/>
        </w:rPr>
        <w:t xml:space="preserve">④ 연천군 몬테카를로 시뮬레이션 (2단계)</w:t>
      </w:r>
    </w:p>
    <w:p>
      <w:pPr>
        <w:pStyle w:val="ListParagraph"/>
        <w:numPr>
          <w:ilvl w:val="0"/>
          <w:numId w:val="2"/>
        </w:numPr>
        <w:spacing w:after="24" w:line="256"/>
        <w:jc w:val="both"/>
      </w:pPr>
      <w:r>
        <w:rPr>
          <w:rFonts w:ascii="맑은 고딕" w:cs="맑은 고딕" w:eastAsia="맑은 고딕" w:hAnsi="맑은 고딕"/>
          <w:sz w:val="18"/>
          <w:szCs w:val="18"/>
        </w:rPr>
        <w:t xml:space="preserve">연천 10개 읍면의 실제 65세 이상 인구(12,832명)로 평일 예약자를 포아송분포로 만들고(진료 09:00~15:30, 오전 60%), 예약자 비율(0.25~2%)·참여율(10~50%)은 4×4 격자로 바꿨다. 같은 종합병원 예약을 시간 순으로 묶고(첫·마지막 진료 차 + 여유 10분 ≤ 60분), 좌석은 운전석을 뺀 </w:t>
      </w:r>
      <w:r>
        <w:rPr>
          <w:rFonts w:ascii="맑은 고딕" w:cs="맑은 고딕" w:eastAsia="맑은 고딕" w:hAnsi="맑은 고딕"/>
          <w:b/>
          <w:bCs/>
          <w:sz w:val="18"/>
          <w:szCs w:val="18"/>
        </w:rPr>
        <w:t xml:space="preserve">승객 좌석 수</w:t>
      </w:r>
      <w:r>
        <w:rPr>
          <w:rFonts w:ascii="맑은 고딕" w:cs="맑은 고딕" w:eastAsia="맑은 고딕" w:hAnsi="맑은 고딕"/>
          <w:sz w:val="18"/>
          <w:szCs w:val="18"/>
        </w:rPr>
        <w:t xml:space="preserve">다. 승객 6석은 2024년 연천 도입 차량인 7인승 승합[3]이고, 승객 11석은 특정 차종이 아니라 좌석만 늘린 비교 조건이다. 경로는 차고지(전곡읍) → 마을들 → 병원의 최단 순서이며 진료 60분 뒤 같은 경로로 귀가한다(40km/h, 정차 2분).</w:t>
      </w:r>
    </w:p>
    <w:p>
      <w:pPr>
        <w:pStyle w:val="ListParagraph"/>
        <w:numPr>
          <w:ilvl w:val="0"/>
          <w:numId w:val="2"/>
        </w:numPr>
        <w:spacing w:after="24" w:line="256"/>
        <w:jc w:val="both"/>
      </w:pPr>
      <w:r>
        <w:rPr>
          <w:rFonts w:ascii="맑은 고딕" w:cs="맑은 고딕" w:eastAsia="맑은 고딕" w:hAnsi="맑은 고딕"/>
          <w:b/>
          <w:bCs/>
          <w:sz w:val="18"/>
          <w:szCs w:val="18"/>
        </w:rPr>
        <w:t xml:space="preserve">필요 차량과 배차 규칙:</w:t>
      </w:r>
      <w:r>
        <w:rPr>
          <w:rFonts w:ascii="맑은 고딕" w:cs="맑은 고딕" w:eastAsia="맑은 고딕" w:hAnsi="맑은 고딕"/>
          <w:sz w:val="18"/>
          <w:szCs w:val="18"/>
        </w:rPr>
        <w:t xml:space="preserve"> 출발한 묶음마다 차량 1대가 [첫 진료 10분 전 도착 − 편도 주행·정차]부터 [마지막 진료 + 60분 + 귀가 주행]까지 점유되고 차고지로 돌아오면 다시 쓴다고 보아, 하루 동시 점유 대수의 최댓값(500일 중 95번째 백분위)을 필요 대수로 했다(휴게·충전 제외). 규칙은 A 4명 이상 출발, B 묶음별 손익분기를 넘을 때만 출발, B계획 전환율 40%로 판단 후 실제 전환율로 평가, B여유 B계획에 안전 여유 1.3배(공동배차 배출 × 1.3 &lt; 승용차 대체 배출)이며, 출발하지 않은 예약자는 기존 방식으로 이동한다. 같은 수요에 모든 규칙을 적용해 5개 시드 × 100일을 비교했다.</w:t>
      </w:r>
    </w:p>
    <w:p>
      <w:pPr>
        <w:pStyle w:val="Heading2"/>
        <w:keepNext/>
        <w:spacing w:after="50" w:before="110"/>
      </w:pPr>
      <w:r>
        <w:rPr>
          <w:rFonts w:ascii="맑은 고딕" w:cs="맑은 고딕" w:eastAsia="맑은 고딕" w:hAnsi="맑은 고딕"/>
          <w:b/>
          <w:bCs/>
          <w:color w:val="14231B"/>
          <w:sz w:val="20"/>
          <w:szCs w:val="20"/>
        </w:rPr>
        <w:t xml:space="preserve">⑤ 운영 시나리오 데이터셋과 AI 대리모델 (2단계)</w:t>
      </w:r>
    </w:p>
    <w:p>
      <w:pPr>
        <w:pStyle w:val="ListParagraph"/>
        <w:numPr>
          <w:ilvl w:val="0"/>
          <w:numId w:val="2"/>
        </w:numPr>
        <w:spacing w:after="24" w:line="256"/>
        <w:jc w:val="both"/>
      </w:pPr>
      <w:r>
        <w:rPr>
          <w:rFonts w:ascii="맑은 고딕" w:cs="맑은 고딕" w:eastAsia="맑은 고딕" w:hAnsi="맑은 고딕"/>
          <w:sz w:val="18"/>
          <w:szCs w:val="18"/>
        </w:rPr>
        <w:t xml:space="preserve">연천 시뮬레이션을 취약 읍면이 2곳 이상인 </w:t>
      </w:r>
      <w:r>
        <w:rPr>
          <w:rFonts w:ascii="맑은 고딕" w:cs="맑은 고딕" w:eastAsia="맑은 고딕" w:hAnsi="맑은 고딕"/>
          <w:b/>
          <w:bCs/>
          <w:sz w:val="18"/>
          <w:szCs w:val="18"/>
        </w:rPr>
        <w:t xml:space="preserve">15개 시군</w:t>
      </w:r>
      <w:r>
        <w:rPr>
          <w:rFonts w:ascii="맑은 고딕" w:cs="맑은 고딕" w:eastAsia="맑은 고딕" w:hAnsi="맑은 고딕"/>
          <w:sz w:val="18"/>
          <w:szCs w:val="18"/>
        </w:rPr>
        <w:t xml:space="preserve">으로 일반화했다(시군별 읍·면의 실제 65세 이상 인구와 대표점, 가장 가까운 종합병원, 인구가 가장 많은 읍·면을 차고지로). 시나리오마다 예약자 비율·참여율·오전 집중도·전환율·운행 계수·차종·좌석·허용 대기·배차 규칙·배출계수를 무작위로 뽑아 30일을 계산해, 시군당 400개, 모두 </w:t>
      </w:r>
      <w:r>
        <w:rPr>
          <w:rFonts w:ascii="맑은 고딕" w:cs="맑은 고딕" w:eastAsia="맑은 고딕" w:hAnsi="맑은 고딕"/>
          <w:b/>
          <w:bCs/>
          <w:sz w:val="18"/>
          <w:szCs w:val="18"/>
        </w:rPr>
        <w:t xml:space="preserve">6,000개 시나리오의 "입력 조건 → 운영 성과" 표</w:t>
      </w:r>
      <w:r>
        <w:rPr>
          <w:rFonts w:ascii="맑은 고딕" w:cs="맑은 고딕" w:eastAsia="맑은 고딕" w:hAnsi="맑은 고딕"/>
          <w:sz w:val="18"/>
          <w:szCs w:val="18"/>
        </w:rPr>
        <w:t xml:space="preserve">를 만들었다.</w:t>
      </w:r>
    </w:p>
    <w:p>
      <w:pPr>
        <w:pStyle w:val="ListParagraph"/>
        <w:numPr>
          <w:ilvl w:val="0"/>
          <w:numId w:val="2"/>
        </w:numPr>
        <w:spacing w:after="24" w:line="256"/>
        <w:jc w:val="both"/>
      </w:pPr>
      <w:r>
        <w:rPr>
          <w:rFonts w:ascii="맑은 고딕" w:cs="맑은 고딕" w:eastAsia="맑은 고딕" w:hAnsi="맑은 고딕"/>
          <w:sz w:val="18"/>
          <w:szCs w:val="18"/>
        </w:rPr>
        <w:t xml:space="preserve">이 표로 XGBoost와 랜덤포레스트를 학습해 수송률·최대 대기·필요 차량·차량km·탄소 변화율을 예측하는 </w:t>
      </w:r>
      <w:r>
        <w:rPr>
          <w:rFonts w:ascii="맑은 고딕" w:cs="맑은 고딕" w:eastAsia="맑은 고딕" w:hAnsi="맑은 고딕"/>
          <w:b/>
          <w:bCs/>
          <w:sz w:val="18"/>
          <w:szCs w:val="18"/>
        </w:rPr>
        <w:t xml:space="preserve">대리모델(메타모델)</w:t>
      </w:r>
      <w:r>
        <w:rPr>
          <w:rFonts w:ascii="맑은 고딕" w:cs="맑은 고딕" w:eastAsia="맑은 고딕" w:hAnsi="맑은 고딕"/>
          <w:sz w:val="18"/>
          <w:szCs w:val="18"/>
        </w:rPr>
        <w:t xml:space="preserve">을 만들었다. 같은 시군의 시나리오가 학습과 검증에 함께 들어가지 않게 </w:t>
      </w:r>
      <w:r>
        <w:rPr>
          <w:rFonts w:ascii="맑은 고딕" w:cs="맑은 고딕" w:eastAsia="맑은 고딕" w:hAnsi="맑은 고딕"/>
          <w:b/>
          <w:bCs/>
          <w:sz w:val="18"/>
          <w:szCs w:val="18"/>
        </w:rPr>
        <w:t xml:space="preserve">시군 단위 5겹 교차검증(GroupKFold)</w:t>
      </w:r>
      <w:r>
        <w:rPr>
          <w:rFonts w:ascii="맑은 고딕" w:cs="맑은 고딕" w:eastAsia="맑은 고딕" w:hAnsi="맑은 고딕"/>
          <w:sz w:val="18"/>
          <w:szCs w:val="18"/>
        </w:rPr>
        <w:t xml:space="preserve">으로 평가하고, </w:t>
      </w:r>
      <w:r>
        <w:rPr>
          <w:rFonts w:ascii="맑은 고딕" w:cs="맑은 고딕" w:eastAsia="맑은 고딕" w:hAnsi="맑은 고딕"/>
          <w:b/>
          <w:bCs/>
          <w:sz w:val="18"/>
          <w:szCs w:val="18"/>
        </w:rPr>
        <w:t xml:space="preserve">SHAP</w:t>
      </w:r>
      <w:r>
        <w:rPr>
          <w:rFonts w:ascii="맑은 고딕" w:cs="맑은 고딕" w:eastAsia="맑은 고딕" w:hAnsi="맑은 고딕"/>
          <w:sz w:val="18"/>
          <w:szCs w:val="18"/>
        </w:rPr>
        <w:t xml:space="preserve">으로 요인별 기여를 설명했다. 대리모델의 정확도는 시뮬레이션을 얼마나 재현하는가이며 현실 예측 정확도가 아니다.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시군별 운영 판단:</w:t>
      </w:r>
      <w:r>
        <w:rPr>
          <w:rFonts w:ascii="맑은 고딕" w:cs="맑은 고딕" w:eastAsia="맑은 고딕" w:hAnsi="맑은 고딕"/>
          <w:sz w:val="18"/>
          <w:szCs w:val="18"/>
        </w:rPr>
        <w:t xml:space="preserve"> 수송률은 참여 예약자 중 공동배차 차량에 실제로 탄 비율이다(나머지는 기존 방식으로 이동). 대표 수요(예약자 1%, 참여율 30%)에서 손익분기 기준 수송률이 50% 이상인지로 ① 현행 차량(경유·승객 6석)·전환율 21.3%에서 가능 → 공동배차 권장 ② 다른 차종·좌석이면 가능 → 차량 조건 조정 ③ 전환율 40%에서만 가능 → 전환율 실측 시범 ④ 그래도 불가 → 대체 서비스(호출형·의료동행) 연결로 나눴다. 대리모델 판단은 같은 조건의 직접 시뮬레이션으로 확인했다.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4. </w:t>
      </w:r>
      <w:r>
        <w:rPr>
          <w:rFonts w:ascii="맑은 고딕" w:cs="맑은 고딕" w:eastAsia="맑은 고딕" w:hAnsi="맑은 고딕"/>
          <w:b/>
          <w:bCs/>
          <w:color w:val="1F5D3C"/>
          <w:sz w:val="24"/>
          <w:szCs w:val="24"/>
        </w:rPr>
        <w:t xml:space="preserve">AI 기술 활용</w:t>
      </w:r>
    </w:p>
    <w:p>
      <w:pPr>
        <w:spacing w:after="50" w:before="0" w:line="262"/>
        <w:jc w:val="both"/>
      </w:pPr>
      <w:r>
        <w:rPr>
          <w:rFonts w:ascii="맑은 고딕" w:cs="맑은 고딕" w:eastAsia="맑은 고딕" w:hAnsi="맑은 고딕"/>
          <w:sz w:val="18"/>
          <w:szCs w:val="18"/>
        </w:rPr>
        <w:t xml:space="preserve">AI는 </w:t>
      </w:r>
      <w:r>
        <w:rPr>
          <w:rFonts w:ascii="맑은 고딕" w:cs="맑은 고딕" w:eastAsia="맑은 고딕" w:hAnsi="맑은 고딕"/>
          <w:b/>
          <w:bCs/>
          <w:sz w:val="18"/>
          <w:szCs w:val="18"/>
        </w:rPr>
        <w:t xml:space="preserve">분석 방법</w:t>
      </w:r>
      <w:r>
        <w:rPr>
          <w:rFonts w:ascii="맑은 고딕" w:cs="맑은 고딕" w:eastAsia="맑은 고딕" w:hAnsi="맑은 고딕"/>
          <w:sz w:val="18"/>
          <w:szCs w:val="18"/>
        </w:rPr>
        <w:t xml:space="preserve">으로 세 곳에 썼다. 취약 유형을 데이터에서 찾는 비지도 학습, 그 유형을 검증·설명하는 머신러닝, 운영 조건별 성과를 예측하고 요인을 설명하는 XGBoost 대리모델과 SHAP이다. 코드 작성 보조로 쓴 생성형 AI는 준수사항에 따라 마지막 줄에 밝혔다.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2154"/>
        <w:gridCol w:w="3078"/>
        <w:gridCol w:w="2873"/>
      </w:tblGrid>
      <w:tr>
        <w:trPr>
          <w:cantSplit/>
          <w:tblHeader/>
        </w:trPr>
        <w:tc>
          <w:tcPr>
            <w:tcW w:type="dxa" w:w="1641"/>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분석 단계</w:t>
            </w:r>
          </w:p>
        </w:tc>
        <w:tc>
          <w:tcPr>
            <w:tcW w:type="dxa" w:w="2154"/>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AI 기법 (도구)</w:t>
            </w:r>
          </w:p>
        </w:tc>
        <w:tc>
          <w:tcPr>
            <w:tcW w:type="dxa" w:w="3078"/>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역할과 결과</w:t>
            </w:r>
          </w:p>
        </w:tc>
        <w:tc>
          <w:tcPr>
            <w:tcW w:type="dxa" w:w="287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사람이 검증한 부분</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취약 유형 발견</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비지도 학습 K-평균, k=3~6 실루엣 비교 (scikit-learn 1.9.1)</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600곳 4유형, 고령 고립형 68곳 도출</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군집 지표를 보고 유형 이름 부여, 기획 가설 유형과 대조</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유형 검증</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부트스트랩 재학습 200회, 계층 군집·가우시안 혼합 비교, 주성분분석 가중치</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고령 고립형 자카드 안정성 0.95, Ward 일치 98.5%, PCA 가중 순위상관 0.99</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방법마다 경계가 달라지는 유형은 정책 근거로 쓰지 않음</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유형 설명</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랜덤포레스트 대리모델 + 순열 중요도</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유형 재현 정확도 92.5%, 종합병원 거리·고령비율 기여 최대</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중요도 순서가 지표 정의와 맞는지 검토</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운영 성과 예측</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XGBoost 3.4 대 랜덤포레스트, 시군 단위 GroupKFold</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5개 성과 지표 R² 0.66~0.91, XGBoost가 모두 같거나 높음</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직접 시뮬레이션과 시군별 판단 일치율 80% 확인</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운영 요인 설명</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SHAP (TreeExplainer)</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탄소·수송률을 좌우하는 요인 순위</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가정값이 성과를 좌우한다는 결과를 실측 우선 정책으로 해석</w:t>
            </w:r>
          </w:p>
        </w:tc>
      </w:tr>
      <w:tr>
        <w:trPr>
          <w:cantSplit/>
          <w:tblHeader w:val="off"/>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코드·보고서 작성 보조</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생성형 AI Claude Code (Anthropic)</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공개데이터 탐색, Python 코드, 보고서 초안 작성 보조</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팀원이 코드를 재실행해 수치 확인 (</w:t>
            </w:r>
            <w:r>
              <w:rPr>
                <w:rFonts w:ascii="맑은 고딕" w:cs="맑은 고딕" w:eastAsia="맑은 고딕" w:hAnsi="맑은 고딕"/>
                <w:b w:val="false"/>
                <w:bCs w:val="false"/>
                <w:sz w:val="15"/>
                <w:szCs w:val="15"/>
                <w:highlight w:val="yellow"/>
              </w:rPr>
              <w:t xml:space="preserve">검토자·일자 기재</w:t>
            </w:r>
            <w:r>
              <w:rPr>
                <w:rFonts w:ascii="맑은 고딕" w:cs="맑은 고딕" w:eastAsia="맑은 고딕" w:hAnsi="맑은 고딕"/>
                <w:b w:val="false"/>
                <w:bCs w:val="false"/>
                <w:sz w:val="15"/>
                <w:szCs w:val="15"/>
              </w:rPr>
              <w:t xml:space="preserve">)</w:t>
            </w:r>
          </w:p>
        </w:tc>
      </w:tr>
    </w:tbl>
    <w:p>
      <w:pPr>
        <w:spacing w:after="50" w:before="60" w:line="262"/>
        <w:jc w:val="both"/>
      </w:pPr>
      <w:r>
        <w:rPr>
          <w:rFonts w:ascii="맑은 고딕" w:cs="맑은 고딕" w:eastAsia="맑은 고딕" w:hAnsi="맑은 고딕"/>
          <w:sz w:val="17"/>
          <w:szCs w:val="17"/>
        </w:rPr>
        <w:t xml:space="preserve">난수 시드와 설정은 코드에 고정했다(용도별 시드는 7장). </w:t>
      </w:r>
      <w:r>
        <w:rPr>
          <w:rFonts w:ascii="맑은 고딕" w:cs="맑은 고딕" w:eastAsia="맑은 고딕" w:hAnsi="맑은 고딕"/>
          <w:b/>
          <w:bCs/>
          <w:sz w:val="17"/>
          <w:szCs w:val="17"/>
        </w:rPr>
        <w:t xml:space="preserve">생성형 AI 주요 프롬프트</w:t>
      </w:r>
      <w:r>
        <w:rPr>
          <w:rFonts w:ascii="맑은 고딕" w:cs="맑은 고딕" w:eastAsia="맑은 고딕" w:hAnsi="맑은 고딕"/>
          <w:sz w:val="17"/>
          <w:szCs w:val="17"/>
        </w:rPr>
        <w:t xml:space="preserve">: "로그인 없이 받을 수 있는 공개데이터로 Python 분석을 하고 공모전 양식의 보고서를 작성해 줘", "검토 의견을 반영해 재분석해 줘"(전체는 저장소 docs). 개인정보·비공개 자료는 AI에 입력하지 않았다.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5. </w:t>
      </w:r>
      <w:r>
        <w:rPr>
          <w:rFonts w:ascii="맑은 고딕" w:cs="맑은 고딕" w:eastAsia="맑은 고딕" w:hAnsi="맑은 고딕"/>
          <w:b/>
          <w:bCs/>
          <w:color w:val="1F5D3C"/>
          <w:sz w:val="24"/>
          <w:szCs w:val="24"/>
        </w:rPr>
        <w:t xml:space="preserve">분석 내용 및 결과</w:t>
      </w:r>
    </w:p>
    <w:p>
      <w:pPr>
        <w:pStyle w:val="Heading2"/>
        <w:keepNext/>
        <w:spacing w:after="50" w:before="110"/>
      </w:pPr>
      <w:r>
        <w:rPr>
          <w:rFonts w:ascii="맑은 고딕" w:cs="맑은 고딕" w:eastAsia="맑은 고딕" w:hAnsi="맑은 고딕"/>
          <w:b/>
          <w:bCs/>
          <w:color w:val="14231B"/>
          <w:sz w:val="20"/>
          <w:szCs w:val="20"/>
        </w:rPr>
        <w:t xml:space="preserve">5-1. 의료이동 상대적 취약지역 120곳 (실증)</w:t>
      </w:r>
    </w:p>
    <w:p>
      <w:pPr>
        <w:pStyle w:val="ListParagraph"/>
        <w:numPr>
          <w:ilvl w:val="0"/>
          <w:numId w:val="2"/>
        </w:numPr>
        <w:spacing w:after="24" w:line="256"/>
        <w:jc w:val="both"/>
      </w:pPr>
      <w:r>
        <w:rPr>
          <w:rFonts w:ascii="맑은 고딕" w:cs="맑은 고딕" w:eastAsia="맑은 고딕" w:hAnsi="맑은 고딕"/>
          <w:sz w:val="18"/>
          <w:szCs w:val="18"/>
        </w:rPr>
        <w:t xml:space="preserve">상위 20% 120곳 가운데 </w:t>
      </w:r>
      <w:r>
        <w:rPr>
          <w:rFonts w:ascii="맑은 고딕" w:cs="맑은 고딕" w:eastAsia="맑은 고딕" w:hAnsi="맑은 고딕"/>
          <w:b/>
          <w:bCs/>
          <w:sz w:val="18"/>
          <w:szCs w:val="18"/>
        </w:rPr>
        <w:t xml:space="preserve">면이 86곳(72%)</w:t>
      </w:r>
      <w:r>
        <w:rPr>
          <w:rFonts w:ascii="맑은 고딕" w:cs="맑은 고딕" w:eastAsia="맑은 고딕" w:hAnsi="맑은 고딕"/>
          <w:sz w:val="18"/>
          <w:szCs w:val="18"/>
        </w:rPr>
        <w:t xml:space="preserve">이며 경기도 65세 이상 인구의 13.5%(306,629명)가 산다. 가장 가까운 종합병원까지 근사거리 중앙값은 </w:t>
      </w:r>
      <w:r>
        <w:rPr>
          <w:rFonts w:ascii="맑은 고딕" w:cs="맑은 고딕" w:eastAsia="맑은 고딕" w:hAnsi="맑은 고딕"/>
          <w:b/>
          <w:bCs/>
          <w:sz w:val="18"/>
          <w:szCs w:val="18"/>
        </w:rPr>
        <w:t xml:space="preserve">14.9km로 나머지 지역 중앙값(2.3km)의 6배 이상</w:t>
      </w:r>
      <w:r>
        <w:rPr>
          <w:rFonts w:ascii="맑은 고딕" w:cs="맑은 고딕" w:eastAsia="맑은 고딕" w:hAnsi="맑은 고딕"/>
          <w:sz w:val="18"/>
          <w:szCs w:val="18"/>
        </w:rPr>
        <w:t xml:space="preserve">이다.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연천군 10곳 전부, 가평군 6곳 전부, 양평군 12곳 중 11곳</w:t>
      </w:r>
      <w:r>
        <w:rPr>
          <w:rFonts w:ascii="맑은 고딕" w:cs="맑은 고딕" w:eastAsia="맑은 고딕" w:hAnsi="맑은 고딕"/>
          <w:sz w:val="18"/>
          <w:szCs w:val="18"/>
        </w:rPr>
        <w:t xml:space="preserve">이 포함된다. 가장 취약한 곳은 연천 신서면(65세 이상 47%, 종합병원 근사거리 약 40km)이다.</w:t>
      </w:r>
    </w:p>
    <w:p>
      <w:pPr>
        <w:pStyle w:val="ListParagraph"/>
        <w:numPr>
          <w:ilvl w:val="0"/>
          <w:numId w:val="2"/>
        </w:numPr>
        <w:spacing w:after="24" w:line="256"/>
        <w:jc w:val="both"/>
      </w:pPr>
      <w:r>
        <w:rPr>
          <w:rFonts w:ascii="맑은 고딕" w:cs="맑은 고딕" w:eastAsia="맑은 고딕" w:hAnsi="맑은 고딕"/>
          <w:sz w:val="18"/>
          <w:szCs w:val="18"/>
        </w:rPr>
        <w:t xml:space="preserve">가중치를 바꾸거나 최소-최대 정규화를 써도 상위 20%의 88~95%가 유지됐다(순위상관 0.95~0.98). 같은 변수로 만든 지수의 내부 안정성이며, 실제 불편의 독립 검증은 아니다(6장 한계).</w:t>
      </w:r>
    </w:p>
    <w:p>
      <w:pPr>
        <w:keepNext/>
        <w:spacing w:after="30" w:before="80"/>
        <w:jc w:val="center"/>
      </w:pPr>
      <w:r>
        <w:drawing>
          <wp:inline distT="0" distB="0" distL="0" distR="0">
            <wp:extent cx="17240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24025" cy="20193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1. 의료이동 상대적 취약도 (가장 짙은 단계 = 상위 20%)</w:t>
      </w:r>
    </w:p>
    <w:p>
      <w:pPr>
        <w:keepNext/>
        <w:spacing w:after="40" w:before="100"/>
        <w:jc w:val="left"/>
      </w:pPr>
      <w:r>
        <w:rPr>
          <w:rFonts w:ascii="맑은 고딕" w:cs="맑은 고딕" w:eastAsia="맑은 고딕" w:hAnsi="맑은 고딕"/>
          <w:b/>
          <w:bCs/>
          <w:color w:val="45554C"/>
          <w:sz w:val="16"/>
          <w:szCs w:val="16"/>
        </w:rPr>
        <w:t xml:space="preserve">표 1. 유형별 특성 (거리·밀도는 중앙값)</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133"/>
        <w:gridCol w:w="1360"/>
        <w:gridCol w:w="1360"/>
        <w:gridCol w:w="1473"/>
        <w:gridCol w:w="1360"/>
        <w:gridCol w:w="1133"/>
      </w:tblGrid>
      <w:tr>
        <w:trPr>
          <w:cantSplit/>
          <w:tblHeader/>
        </w:trPr>
        <w:tc>
          <w:tcPr>
            <w:tcW w:type="dxa" w:w="192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유형 (k=4)</w:t>
            </w:r>
          </w:p>
        </w:tc>
        <w:tc>
          <w:tcPr>
            <w:tcW w:type="dxa" w:w="11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읍면동</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65세 이상</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병원급 거리</w:t>
            </w:r>
          </w:p>
        </w:tc>
        <w:tc>
          <w:tcPr>
            <w:tcW w:type="dxa" w:w="147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종합병원 거리</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정류장 밀도</w:t>
            </w:r>
          </w:p>
        </w:tc>
        <w:tc>
          <w:tcPr>
            <w:tcW w:type="dxa" w:w="11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취약지역</w:t>
            </w:r>
          </w:p>
        </w:tc>
      </w:tr>
      <w:tr>
        <w:trPr>
          <w:cantSplit/>
          <w:tblHeader w:val="off"/>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고령 고립형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68</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35.7%</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11.8km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20.8km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1.6/km²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68</w:t>
            </w:r>
          </w:p>
        </w:tc>
      </w:tr>
      <w:tr>
        <w:trPr>
          <w:cantSplit/>
          <w:tblHeader w:val="off"/>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병원 원거리형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99</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22.7%</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5.0km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7.7km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3.7/km²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52</w:t>
            </w:r>
          </w:p>
        </w:tc>
      </w:tr>
      <w:tr>
        <w:trPr>
          <w:cantSplit/>
          <w:tblHeader w:val="off"/>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도시 외곽형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174</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13.4%</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2.4km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3.8km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9.4/km²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0</w:t>
            </w:r>
          </w:p>
        </w:tc>
      </w:tr>
      <w:tr>
        <w:trPr>
          <w:cantSplit/>
          <w:tblHeader w:val="off"/>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6"/>
                <w:szCs w:val="16"/>
              </w:rPr>
              <w:t xml:space="preserve">상대적 양호</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259</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18.1%</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0.9km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1.4km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23.0/km²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0</w:t>
            </w:r>
          </w:p>
        </w:tc>
      </w:tr>
    </w:tbl>
    <w:p>
      <w:pPr>
        <w:spacing w:after="50" w:before="60" w:line="262"/>
        <w:jc w:val="both"/>
      </w:pPr>
      <w:r>
        <w:rPr>
          <w:rFonts w:ascii="맑은 고딕" w:cs="맑은 고딕" w:eastAsia="맑은 고딕" w:hAnsi="맑은 고딕"/>
          <w:sz w:val="18"/>
          <w:szCs w:val="18"/>
        </w:rPr>
        <w:t xml:space="preserve">고령화·병원 원거리·대중교통 부족이 한 곳에 겹치는 </w:t>
      </w:r>
      <w:r>
        <w:rPr>
          <w:rFonts w:ascii="맑은 고딕" w:cs="맑은 고딕" w:eastAsia="맑은 고딕" w:hAnsi="맑은 고딕"/>
          <w:b/>
          <w:bCs/>
          <w:sz w:val="18"/>
          <w:szCs w:val="18"/>
        </w:rPr>
        <w:t xml:space="preserve">고령 고립형</w:t>
      </w:r>
      <w:r>
        <w:rPr>
          <w:rFonts w:ascii="맑은 고딕" w:cs="맑은 고딕" w:eastAsia="맑은 고딕" w:hAnsi="맑은 고딕"/>
          <w:sz w:val="18"/>
          <w:szCs w:val="18"/>
        </w:rPr>
        <w:t xml:space="preserve">이 드러났다. 기획 단계에서 따로 예상한 "대중교통 공급 부족형"은 자료에서 독립 유형으로 나타나지 않았다.</w:t>
      </w:r>
    </w:p>
    <w:p>
      <w:pPr>
        <w:pStyle w:val="Heading2"/>
        <w:keepNext/>
        <w:spacing w:after="50" w:before="110"/>
      </w:pPr>
      <w:r>
        <w:rPr>
          <w:rFonts w:ascii="맑은 고딕" w:cs="맑은 고딕" w:eastAsia="맑은 고딕" w:hAnsi="맑은 고딕"/>
          <w:b/>
          <w:bCs/>
          <w:color w:val="14231B"/>
          <w:sz w:val="20"/>
          <w:szCs w:val="20"/>
        </w:rPr>
        <w:t xml:space="preserve">5-2. AI 유형화 검증: 고령 고립형은 방법·표본을 바꿔도 유지된다 (실증)</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안정성:</w:t>
      </w:r>
      <w:r>
        <w:rPr>
          <w:rFonts w:ascii="맑은 고딕" w:cs="맑은 고딕" w:eastAsia="맑은 고딕" w:hAnsi="맑은 고딕"/>
          <w:sz w:val="18"/>
          <w:szCs w:val="18"/>
        </w:rPr>
        <w:t xml:space="preserve"> 부트스트랩 재학습 200회의 전체 유형 일치도(ARI)는 평균 0.87이었고, </w:t>
      </w:r>
      <w:r>
        <w:rPr>
          <w:rFonts w:ascii="맑은 고딕" w:cs="맑은 고딕" w:eastAsia="맑은 고딕" w:hAnsi="맑은 고딕"/>
          <w:b/>
          <w:bCs/>
          <w:sz w:val="18"/>
          <w:szCs w:val="18"/>
        </w:rPr>
        <w:t xml:space="preserve">고령 고립형의 자카드 안정성은 0.95(하위 5%도 0.87)로 네 유형 중 가장 높았다.</w:t>
      </w:r>
      <w:r>
        <w:rPr>
          <w:rFonts w:ascii="맑은 고딕" w:cs="맑은 고딕" w:eastAsia="맑은 고딕" w:hAnsi="맑은 고딕"/>
          <w:sz w:val="18"/>
          <w:szCs w:val="18"/>
        </w:rPr>
        <w:t xml:space="preserve"> 68곳 중 67곳이 90% 이상 확률로 다시 고령 고립형에 배정됐고, 연천은 10곳 중 9곳이 99.5% 이상이었다(전곡읍은 병원 원거리형으로 100% 안정).</w:t>
      </w:r>
    </w:p>
    <w:p>
      <w:pPr>
        <w:pStyle w:val="ListParagraph"/>
        <w:numPr>
          <w:ilvl w:val="0"/>
          <w:numId w:val="2"/>
        </w:numPr>
        <w:spacing w:after="24" w:line="256"/>
        <w:jc w:val="both"/>
      </w:pPr>
      <w:r>
        <w:rPr>
          <w:rFonts w:ascii="맑은 고딕" w:cs="맑은 고딕" w:eastAsia="맑은 고딕" w:hAnsi="맑은 고딕"/>
          <w:b/>
          <w:bCs/>
          <w:sz w:val="18"/>
          <w:szCs w:val="18"/>
        </w:rPr>
        <w:t xml:space="preserve">방법 간 비교·설명:</w:t>
      </w:r>
      <w:r>
        <w:rPr>
          <w:rFonts w:ascii="맑은 고딕" w:cs="맑은 고딕" w:eastAsia="맑은 고딕" w:hAnsi="맑은 고딕"/>
          <w:sz w:val="18"/>
          <w:szCs w:val="18"/>
        </w:rPr>
        <w:t xml:space="preserve"> 계층 군집(Ward)은 고령 고립형의 98.5%를 같게 찾았다. 가우시안 혼합은 62%만 겹쳐(실루엣 ≈ 0) </w:t>
      </w:r>
      <w:r>
        <w:rPr>
          <w:rFonts w:ascii="맑은 고딕" w:cs="맑은 고딕" w:eastAsia="맑은 고딕" w:hAnsi="맑은 고딕"/>
          <w:b/>
          <w:bCs/>
          <w:sz w:val="18"/>
          <w:szCs w:val="18"/>
        </w:rPr>
        <w:t xml:space="preserve">경계가 뚜렷한 고령 고립형만 정책 근거로 쓴다.</w:t>
      </w:r>
      <w:r>
        <w:rPr>
          <w:rFonts w:ascii="맑은 고딕" w:cs="맑은 고딕" w:eastAsia="맑은 고딕" w:hAnsi="맑은 고딕"/>
          <w:sz w:val="18"/>
          <w:szCs w:val="18"/>
        </w:rPr>
        <w:t xml:space="preserve"> 랜덤포레스트 대리모델은 유형을 92.5% 재현했고 종합병원 거리(0.23)·고령비율(0.23)·정류장 밀도(0.21)·병원급 거리(0.15) 순으로 기여했다. PCA 가중치(0.27·0.35·0.38)로 다시 계산해도 순위상관 0.99였다.</w:t>
      </w:r>
    </w:p>
    <w:p>
      <w:pPr>
        <w:pStyle w:val="Heading2"/>
        <w:keepNext/>
        <w:spacing w:after="50" w:before="110"/>
      </w:pPr>
      <w:r>
        <w:rPr>
          <w:rFonts w:ascii="맑은 고딕" w:cs="맑은 고딕" w:eastAsia="맑은 고딕" w:hAnsi="맑은 고딕"/>
          <w:b/>
          <w:bCs/>
          <w:color w:val="14231B"/>
          <w:sz w:val="20"/>
          <w:szCs w:val="20"/>
        </w:rPr>
        <w:t xml:space="preserve">5-3. 최소 합승 인원: 거리보다 전환율과 차종이 좌우한다 (시뮬레이션)</w:t>
      </w:r>
    </w:p>
    <w:p>
      <w:pPr>
        <w:pStyle w:val="ListParagraph"/>
        <w:numPr>
          <w:ilvl w:val="0"/>
          <w:numId w:val="2"/>
        </w:numPr>
        <w:spacing w:after="24" w:line="256"/>
        <w:jc w:val="both"/>
      </w:pPr>
      <w:r>
        <w:rPr>
          <w:rFonts w:ascii="맑은 고딕" w:cs="맑은 고딕" w:eastAsia="맑은 고딕" w:hAnsi="맑은 고딕"/>
          <w:sz w:val="18"/>
          <w:szCs w:val="18"/>
        </w:rPr>
        <w:t xml:space="preserve">먼 거리에서 최소 합승 인원은 </w:t>
      </w:r>
      <w:r>
        <w:rPr>
          <w:rFonts w:ascii="맑은 고딕" w:cs="맑은 고딕" w:eastAsia="맑은 고딕" w:hAnsi="맑은 고딕"/>
          <w:b/>
          <w:bCs/>
          <w:sz w:val="18"/>
          <w:szCs w:val="18"/>
        </w:rPr>
        <w:t xml:space="preserve">우회계수 × 승합 배출계수 ÷ (전환율 × 승용차 배출계수)</w:t>
      </w:r>
      <w:r>
        <w:rPr>
          <w:rFonts w:ascii="맑은 고딕" w:cs="맑은 고딕" w:eastAsia="맑은 고딕" w:hAnsi="맑은 고딕"/>
          <w:sz w:val="18"/>
          <w:szCs w:val="18"/>
        </w:rPr>
        <w:t xml:space="preserve">로 수렴한다(경유 기준 보수 8명, 기본 5명, 적극 3명). 취약지역 120곳의 값은 보수 9~14명, 기본 5~8명, 적극 3~5명이며 15km를 넘으면 거리 영향은 1명 안팎이다. 따라서 "몇 km 이상이면 몇 명"이라는 기획 가설보다 </w:t>
      </w:r>
      <w:r>
        <w:rPr>
          <w:rFonts w:ascii="맑은 고딕" w:cs="맑은 고딕" w:eastAsia="맑은 고딕" w:hAnsi="맑은 고딕"/>
          <w:b/>
          <w:bCs/>
          <w:sz w:val="18"/>
          <w:szCs w:val="18"/>
        </w:rPr>
        <w:t xml:space="preserve">전환율과 차종이 결정적</w:t>
      </w:r>
      <w:r>
        <w:rPr>
          <w:rFonts w:ascii="맑은 고딕" w:cs="맑은 고딕" w:eastAsia="맑은 고딕" w:hAnsi="맑은 고딕"/>
          <w:sz w:val="18"/>
          <w:szCs w:val="18"/>
        </w:rPr>
        <w:t xml:space="preserve">이고, 전기 승합이면 보수 중앙값이 10명에서 5명으로 낮아진다(공차거리를 뺀 근사식이라 실제 출발 기준은 5-4처럼 묶음마다 계산).</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좌석 수가 결론을 바꾼다.</w:t>
      </w:r>
      <w:r>
        <w:rPr>
          <w:rFonts w:ascii="맑은 고딕" w:cs="맑은 고딕" w:eastAsia="맑은 고딕" w:hAnsi="맑은 고딕"/>
          <w:sz w:val="18"/>
          <w:szCs w:val="18"/>
        </w:rPr>
        <w:t xml:space="preserve"> 보수 전환율·경유에서는 120곳 모두 손익분기가 승객 6석을 넘어 7인승으로는 감축할 수 없다. 승객 11석이면 100곳, 기본 전환율이면 승객 6석에서도 108곳이 손익분기 안에 든다.</w:t>
      </w:r>
    </w:p>
    <w:p>
      <w:pPr>
        <w:pStyle w:val="Heading2"/>
        <w:keepNext/>
        <w:spacing w:after="50" w:before="110"/>
      </w:pPr>
      <w:r>
        <w:rPr>
          <w:rFonts w:ascii="맑은 고딕" w:cs="맑은 고딕" w:eastAsia="맑은 고딕" w:hAnsi="맑은 고딕"/>
          <w:b/>
          <w:bCs/>
          <w:color w:val="14231B"/>
          <w:sz w:val="20"/>
          <w:szCs w:val="20"/>
        </w:rPr>
        <w:t xml:space="preserve">5-4. 연천군 시뮬레이션: 감축 폭은 조건에 달렸고 차량 확충이 필요하다</w:t>
      </w:r>
    </w:p>
    <w:p>
      <w:pPr>
        <w:keepNext/>
        <w:spacing w:after="30" w:before="80"/>
        <w:jc w:val="center"/>
      </w:pPr>
      <w:r>
        <w:drawing>
          <wp:inline distT="0" distB="0" distL="0" distR="0">
            <wp:extent cx="3962400" cy="1295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2954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2. 연천군 조건별 탄소 배출 변화율 (승객 6석, 운행 계수 1.0, 가정 조건, 음수 = 감축)</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고정 기준(4명 이상 출발)은 보수·경유 16개 조건 모두 배출이 늘었다(+6~+131%, 대표 조건 +128%).</w:t>
      </w:r>
      <w:r>
        <w:rPr>
          <w:rFonts w:ascii="맑은 고딕" w:cs="맑은 고딕" w:eastAsia="맑은 고딕" w:hAnsi="맑은 고딕"/>
          <w:sz w:val="18"/>
          <w:szCs w:val="18"/>
        </w:rPr>
        <w:t xml:space="preserve"> 공차와 우회 때문이다. 손익분기 기준(B)에서 증가가 없는 것은 설계상 결과이지 독립 검증이 아니다.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감축 폭(B, 승객 6석):</w:t>
      </w:r>
      <w:r>
        <w:rPr>
          <w:rFonts w:ascii="맑은 고딕" w:cs="맑은 고딕" w:eastAsia="맑은 고딕" w:hAnsi="맑은 고딕"/>
          <w:sz w:val="18"/>
          <w:szCs w:val="18"/>
        </w:rPr>
        <w:t xml:space="preserve"> 보수·경유 0%(출발 0편), 기본·경유 0~−5%, 보수·전기 0~−9%, 기본·전기 −3~−44%. 배출계수 불확실성(대표 조건 5~95%)은 기본·전기 −15~−45%, 보수·전기 −0.2~−11%다. 보호자 2회 왕복(계수 2.0)을 대체하면 전기·승객 6석에서 전환율 21.3%면 −36%, 40%면 −64%이고, 동승(0.7)이면 −14% 이내다.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강건성·운영 가능성:</w:t>
      </w:r>
      <w:r>
        <w:rPr>
          <w:rFonts w:ascii="맑은 고딕" w:cs="맑은 고딕" w:eastAsia="맑은 고딕" w:hAnsi="맑은 고딕"/>
          <w:sz w:val="18"/>
          <w:szCs w:val="18"/>
        </w:rPr>
        <w:t xml:space="preserve"> 계획 전환율 40%가 실제 21.3%이면 손익분기 기준으로도 전기 +16%, 경유 +9%로 늘었고 안전 여유 1.3배로도 없애지 못했다(+6%, +0.2%). 전환율 실측이 먼저다. 감축이 나는 대표 조건은 필요 차량 2~7대(하루 78~795km, 최대 대기 평균 33~40분)여서 연천 똑버스 7인승 2대(2024.8 보도[3])로는 부족하고 </w:t>
      </w:r>
      <w:r>
        <w:rPr>
          <w:rFonts w:ascii="맑은 고딕" w:cs="맑은 고딕" w:eastAsia="맑은 고딕" w:hAnsi="맑은 고딕"/>
          <w:b/>
          <w:bCs/>
          <w:sz w:val="18"/>
          <w:szCs w:val="18"/>
        </w:rPr>
        <w:t xml:space="preserve">차량 확대를 포함한 신규 시범</w:t>
      </w:r>
      <w:r>
        <w:rPr>
          <w:rFonts w:ascii="맑은 고딕" w:cs="맑은 고딕" w:eastAsia="맑은 고딕" w:hAnsi="맑은 고딕"/>
          <w:sz w:val="18"/>
          <w:szCs w:val="18"/>
        </w:rPr>
        <w:t xml:space="preserve">이 필요하다.</w:t>
      </w:r>
    </w:p>
    <w:p>
      <w:pPr>
        <w:pStyle w:val="Heading2"/>
        <w:keepNext/>
        <w:spacing w:after="50" w:before="110"/>
      </w:pPr>
      <w:r>
        <w:rPr>
          <w:rFonts w:ascii="맑은 고딕" w:cs="맑은 고딕" w:eastAsia="맑은 고딕" w:hAnsi="맑은 고딕"/>
          <w:b/>
          <w:bCs/>
          <w:color w:val="14231B"/>
          <w:sz w:val="20"/>
          <w:szCs w:val="20"/>
        </w:rPr>
        <w:t xml:space="preserve">5-5. AI 대리모델: 성과를 좌우하는 조건과 시군별 운영 추천 (시뮬레이션)</w:t>
      </w:r>
    </w:p>
    <w:p>
      <w:pPr>
        <w:keepNext/>
        <w:spacing w:after="30" w:before="80"/>
        <w:jc w:val="center"/>
      </w:pPr>
      <w:r>
        <w:drawing>
          <wp:inline distT="0" distB="0" distL="0" distR="0">
            <wp:extent cx="5038725" cy="1981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9812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3. 운영 성과 대리모델(XGBoost)의 SHAP 요약: 왼쪽 탄소 변화율, 오른쪽 수송률 (15개 시군 × 400개 조건)</w:t>
      </w:r>
    </w:p>
    <w:p>
      <w:pPr>
        <w:keepNext/>
        <w:spacing w:after="40" w:before="100"/>
        <w:jc w:val="left"/>
      </w:pPr>
      <w:r>
        <w:rPr>
          <w:rFonts w:ascii="맑은 고딕" w:cs="맑은 고딕" w:eastAsia="맑은 고딕" w:hAnsi="맑은 고딕"/>
          <w:b/>
          <w:bCs/>
          <w:color w:val="45554C"/>
          <w:sz w:val="16"/>
          <w:szCs w:val="16"/>
        </w:rPr>
        <w:t xml:space="preserve">표 2. 대리모델의 시군 단위 교차검증 성능 (검증 시군의 시나리오는 학습에 쓰지 않음)</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2707"/>
        <w:gridCol w:w="2166"/>
        <w:gridCol w:w="2166"/>
      </w:tblGrid>
      <w:tr>
        <w:trPr>
          <w:cantSplit/>
          <w:tblHeader/>
        </w:trPr>
        <w:tc>
          <w:tcPr>
            <w:tcW w:type="dxa" w:w="270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예측 대상</w:t>
            </w:r>
          </w:p>
        </w:tc>
        <w:tc>
          <w:tcPr>
            <w:tcW w:type="dxa" w:w="270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XGBoost R² (MAE)</w:t>
            </w:r>
          </w:p>
        </w:tc>
        <w:tc>
          <w:tcPr>
            <w:tcW w:type="dxa" w:w="2166"/>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랜덤포레스트 R²</w:t>
            </w:r>
          </w:p>
        </w:tc>
        <w:tc>
          <w:tcPr>
            <w:tcW w:type="dxa" w:w="2166"/>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평균 기준모델 R²</w:t>
            </w:r>
          </w:p>
        </w:tc>
      </w:tr>
      <w:tr>
        <w:trPr>
          <w:cantSplit/>
          <w:tblHeader w:val="off"/>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탄소 변화율</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0.75 (15.4%p)</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0.70</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−0.01</w:t>
            </w:r>
          </w:p>
        </w:tc>
      </w:tr>
      <w:tr>
        <w:trPr>
          <w:cantSplit/>
          <w:tblHeader w:val="off"/>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수송률</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0.79 (0.12)</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0.74</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off"/>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필요 차량</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0.91 (1.2대)</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0.89</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off"/>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하루 차량km</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0.86 (152km)</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0.82</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off"/>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최대 대기</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0.66 (4.6분)</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0.65</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0.00</w:t>
            </w:r>
          </w:p>
        </w:tc>
      </w:tr>
    </w:tbl>
    <w:p>
      <w:pPr>
        <w:pStyle w:val="ListParagraph"/>
        <w:numPr>
          <w:ilvl w:val="0"/>
          <w:numId w:val="2"/>
        </w:numPr>
        <w:spacing w:after="24" w:line="256"/>
        <w:jc w:val="both"/>
      </w:pPr>
      <w:r>
        <w:rPr>
          <w:rFonts w:ascii="맑은 고딕" w:cs="맑은 고딕" w:eastAsia="맑은 고딕" w:hAnsi="맑은 고딕"/>
          <w:b/>
          <w:bCs/>
          <w:sz w:val="18"/>
          <w:szCs w:val="18"/>
        </w:rPr>
        <w:t xml:space="preserve">무엇이 성과를 좌우하나(SHAP):</w:t>
      </w:r>
      <w:r>
        <w:rPr>
          <w:rFonts w:ascii="맑은 고딕" w:cs="맑은 고딕" w:eastAsia="맑은 고딕" w:hAnsi="맑은 고딕"/>
          <w:sz w:val="18"/>
          <w:szCs w:val="18"/>
        </w:rPr>
        <w:t xml:space="preserve"> 탄소 변화율은 배차 규칙(손익분기 기준이면 감소), 차량 전환율, 승합 배출계수(전기면 감소), 승용차 운행 계수, 차고지 거리 순으로, 수송률은 배차 규칙, 하루 예상 참여자, 전환율 순으로 영향을 받았다. 병원 거리·고령비율 같은 </w:t>
      </w:r>
      <w:r>
        <w:rPr>
          <w:rFonts w:ascii="맑은 고딕" w:cs="맑은 고딕" w:eastAsia="맑은 고딕" w:hAnsi="맑은 고딕"/>
          <w:b/>
          <w:bCs/>
          <w:sz w:val="18"/>
          <w:szCs w:val="18"/>
        </w:rPr>
        <w:t xml:space="preserve">지역 특성보다 운영 조건과 이용 행태가 성과를 좌우</w:t>
      </w:r>
      <w:r>
        <w:rPr>
          <w:rFonts w:ascii="맑은 고딕" w:cs="맑은 고딕" w:eastAsia="맑은 고딕" w:hAnsi="맑은 고딕"/>
          <w:sz w:val="18"/>
          <w:szCs w:val="18"/>
        </w:rPr>
        <w:t xml:space="preserve">했다. 다만 운영 조건은 넓은 범위에서 무작위로 뽑았고 지역 특성은 15개 시군 값뿐이어서, 이 순위에는 시나리오 설계의 영향도 섞여 있다. 따라서 운영 기준을 정하려면 전환율·보호자 운행을 먼저 실측해야 한다.</w:t>
      </w:r>
    </w:p>
    <w:p>
      <w:pPr>
        <w:keepNext/>
        <w:spacing w:after="40" w:before="100"/>
        <w:jc w:val="left"/>
      </w:pPr>
      <w:r>
        <w:rPr>
          <w:rFonts w:ascii="맑은 고딕" w:cs="맑은 고딕" w:eastAsia="맑은 고딕" w:hAnsi="맑은 고딕"/>
          <w:b/>
          <w:bCs/>
          <w:color w:val="45554C"/>
          <w:sz w:val="16"/>
          <w:szCs w:val="16"/>
        </w:rPr>
        <w:t xml:space="preserve">표 3. 시군별 운영 추천 (대표 수요, 판단은 직접 시뮬레이션 기준)</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9"/>
        <w:gridCol w:w="3733"/>
        <w:gridCol w:w="4354"/>
      </w:tblGrid>
      <w:tr>
        <w:trPr>
          <w:cantSplit/>
          <w:tblHeader/>
        </w:trPr>
        <w:tc>
          <w:tcPr>
            <w:tcW w:type="dxa" w:w="165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판단</w:t>
            </w:r>
          </w:p>
        </w:tc>
        <w:tc>
          <w:tcPr>
            <w:tcW w:type="dxa" w:w="37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시군</w:t>
            </w:r>
          </w:p>
        </w:tc>
        <w:tc>
          <w:tcPr>
            <w:tcW w:type="dxa" w:w="4354"/>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근거</w:t>
            </w:r>
          </w:p>
        </w:tc>
      </w:tr>
      <w:tr>
        <w:trPr>
          <w:cantSplit/>
          <w:tblHeader w:val="off"/>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공동배차 권장</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없음</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현행(경유·승객 6석·전환율 21.3%)에서는 15개 시군 모두 손익분기 기준 수송률 0%</w:t>
            </w:r>
          </w:p>
        </w:tc>
      </w:tr>
      <w:tr>
        <w:trPr>
          <w:cantSplit/>
          <w:tblHeader w:val="off"/>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차량 조건 조정</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양평군</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전기·승객 11석이면 현행 전환율 21.3%에서도 수송률 64%(탄소 −22%, 9대). 전환율 40%면 88%(탄소 −48%)</w:t>
            </w:r>
          </w:p>
        </w:tc>
      </w:tr>
      <w:tr>
        <w:trPr>
          <w:cantSplit/>
          <w:tblHeader w:val="off"/>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전환율 실측 시범</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연천·가평·여주·안성·광주·포천·파주·이천·용인·남양주·양주·김포·평택 (13곳)</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전환율 40%·전기·승객 11석에서 수송률 52~90%, 탄소 −10~−41%, 필요 차량 5~13대</w:t>
            </w:r>
          </w:p>
        </w:tc>
      </w:tr>
      <w:tr>
        <w:trPr>
          <w:cantSplit/>
          <w:tblHeader w:val="off"/>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대체 서비스 연결</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화성시</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전기·승객 11석·전환율 40%에서도 수송률 44%(탄소 −18%)</w:t>
            </w:r>
          </w:p>
        </w:tc>
      </w:tr>
    </w:tbl>
    <w:p>
      <w:pPr>
        <w:pStyle w:val="ListParagraph"/>
        <w:numPr>
          <w:ilvl w:val="0"/>
          <w:numId w:val="2"/>
        </w:numPr>
        <w:spacing w:after="24" w:line="256"/>
        <w:jc w:val="both"/>
      </w:pPr>
      <w:r>
        <w:rPr>
          <w:rFonts w:ascii="맑은 고딕" w:cs="맑은 고딕" w:eastAsia="맑은 고딕" w:hAnsi="맑은 고딕"/>
          <w:sz w:val="18"/>
          <w:szCs w:val="18"/>
        </w:rPr>
        <w:t xml:space="preserve">대리모델 판단과 직접 시뮬레이션 판단은 15개 시군 중 12곳(80%)에서 같았다. 다른 3곳(여주·연천·화성)은 수송률이 50% 경계에 가까웠다. 그래서 </w:t>
      </w:r>
      <w:r>
        <w:rPr>
          <w:rFonts w:ascii="맑은 고딕" w:cs="맑은 고딕" w:eastAsia="맑은 고딕" w:hAnsi="맑은 고딕"/>
          <w:b/>
          <w:bCs/>
          <w:sz w:val="18"/>
          <w:szCs w:val="18"/>
        </w:rPr>
        <w:t xml:space="preserve">대리모델은 수천 개 조건을 빠르게 훑어 후보를 좁히는 데 쓰고, 최종 추천은 직접 시뮬레이션으로 확정</w:t>
      </w:r>
      <w:r>
        <w:rPr>
          <w:rFonts w:ascii="맑은 고딕" w:cs="맑은 고딕" w:eastAsia="맑은 고딕" w:hAnsi="맑은 고딕"/>
          <w:sz w:val="18"/>
          <w:szCs w:val="18"/>
        </w:rPr>
        <w:t xml:space="preserve">했다.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6. </w:t>
      </w:r>
      <w:r>
        <w:rPr>
          <w:rFonts w:ascii="맑은 고딕" w:cs="맑은 고딕" w:eastAsia="맑은 고딕" w:hAnsi="맑은 고딕"/>
          <w:b/>
          <w:bCs/>
          <w:color w:val="1F5D3C"/>
          <w:sz w:val="24"/>
          <w:szCs w:val="24"/>
        </w:rPr>
        <w:t xml:space="preserve">정책제안 및 기대효과</w:t>
      </w:r>
    </w:p>
    <w:p>
      <w:pPr>
        <w:spacing w:after="50" w:before="0" w:line="262"/>
        <w:jc w:val="both"/>
      </w:pPr>
      <w:r>
        <w:rPr>
          <w:rFonts w:ascii="맑은 고딕" w:cs="맑은 고딕" w:eastAsia="맑은 고딕" w:hAnsi="맑은 고딕"/>
          <w:b/>
          <w:bCs/>
          <w:sz w:val="18"/>
          <w:szCs w:val="18"/>
        </w:rPr>
        <w:t xml:space="preserve">정책 틀.</w:t>
      </w:r>
      <w:r>
        <w:rPr>
          <w:rFonts w:ascii="맑은 고딕" w:cs="맑은 고딕" w:eastAsia="맑은 고딕" w:hAnsi="맑은 고딕"/>
          <w:sz w:val="18"/>
          <w:szCs w:val="18"/>
        </w:rPr>
        <w:t xml:space="preserve"> 시군마다 </w:t>
      </w:r>
      <w:r>
        <w:rPr>
          <w:rFonts w:ascii="맑은 고딕" w:cs="맑은 고딕" w:eastAsia="맑은 고딕" w:hAnsi="맑은 고딕"/>
          <w:b/>
          <w:bCs/>
          <w:sz w:val="18"/>
          <w:szCs w:val="18"/>
        </w:rPr>
        <w:t xml:space="preserve">데이터 진단 → AI 운영 예측 → 운영 방식 선택 → 시범 데이터로 보정</w:t>
      </w:r>
      <w:r>
        <w:rPr>
          <w:rFonts w:ascii="맑은 고딕" w:cs="맑은 고딕" w:eastAsia="맑은 고딕" w:hAnsi="맑은 고딕"/>
          <w:sz w:val="18"/>
          <w:szCs w:val="18"/>
        </w:rPr>
        <w:t xml:space="preserve">을 반복하는 순환형 의사결정 체계를 제안한다. 의료이동 보장이 목표이고, 탄소는 승용차를 충분히 대체하지 못한 채 공차·우회만 늘리는 배차를 막는 </w:t>
      </w:r>
      <w:r>
        <w:rPr>
          <w:rFonts w:ascii="맑은 고딕" w:cs="맑은 고딕" w:eastAsia="맑은 고딕" w:hAnsi="맑은 고딕"/>
          <w:b/>
          <w:bCs/>
          <w:sz w:val="18"/>
          <w:szCs w:val="18"/>
        </w:rPr>
        <w:t xml:space="preserve">제약조건</w:t>
      </w:r>
      <w:r>
        <w:rPr>
          <w:rFonts w:ascii="맑은 고딕" w:cs="맑은 고딕" w:eastAsia="맑은 고딕" w:hAnsi="맑은 고딕"/>
          <w:sz w:val="18"/>
          <w:szCs w:val="18"/>
        </w:rPr>
        <w:t xml:space="preserve">이다.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918"/>
        <w:gridCol w:w="1909"/>
        <w:gridCol w:w="1809"/>
      </w:tblGrid>
      <w:tr>
        <w:trPr>
          <w:cantSplit/>
          <w:tblHeader/>
        </w:trPr>
        <w:tc>
          <w:tcPr>
            <w:tcW w:type="dxa" w:w="211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제안</w:t>
            </w:r>
          </w:p>
        </w:tc>
        <w:tc>
          <w:tcPr>
            <w:tcW w:type="dxa" w:w="3918"/>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내용</w:t>
            </w:r>
          </w:p>
        </w:tc>
        <w:tc>
          <w:tcPr>
            <w:tcW w:type="dxa" w:w="190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적용 대상</w:t>
            </w:r>
          </w:p>
        </w:tc>
        <w:tc>
          <w:tcPr>
            <w:tcW w:type="dxa" w:w="180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근거</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① 전환율 실측 시범</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공공의료원 예약자 대상 동의 기반 시범으로 이전 수단·동승·보호자 운행을 조사하고 전환율을 실측</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표 3의 13개 시군, 우선 연천·가평</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5-4 강건성: 과대 추정 시 +16%, 5-5 SHAP</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② 손익분기 기준 선택 운영</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실측 전환율로 묶음별 손익분기를 계산해 넘을 때만 선제 배차</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고령 고립형 68곳부터</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5-4: 고정 기준 +128%</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③ 차량 조건 조정</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병원 연계 노선은 전기 승합 우선. 경유 승객 11석은 현행 전환율에서 15개 시군 수송률 0~5%이고 40%에서도 양평만 50%를 넘어 전환율 실측 후 검토</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양평군 먼저, 이후 시범 노선</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5-3·표 3</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④ 의료이동 최소 서비스</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손익분기 미달 예약자는 기존 호출형·의료 동행 서비스로 연결해 배제되지 않게 함</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화성시 등 수요 부족 지역</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표 3</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⑤ 면허반납·교통비 연계 (가설)</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면허 자진반납자 이용권, K-패스 등 환급 적용 여부 확인 후 사각지대 보완. 전환율을 높일 수 있는지 시범에서 검증</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취약지역 고령운전자</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전환율 21%→40%이면 최소 합승 10→6명</w:t>
            </w:r>
          </w:p>
        </w:tc>
      </w:tr>
      <w:tr>
        <w:trPr>
          <w:cantSplit/>
          <w:tblHeader w:val="off"/>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⑥ 시범 데이터 피드백</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예약·탑승·취소, 이전 수단·보호자 운행, 차량km·대기를 동의 기반 최소 항목으로 모아 가정값을 보정하고 대리모델을 다시 학습</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시범 시군</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3장 ⑤, 5-5</w:t>
            </w:r>
          </w:p>
        </w:tc>
      </w:tr>
    </w:tbl>
    <w:p>
      <w:pPr>
        <w:spacing w:after="50" w:before="60" w:line="262"/>
        <w:jc w:val="both"/>
      </w:pPr>
      <w:r>
        <w:rPr>
          <w:rFonts w:ascii="맑은 고딕" w:cs="맑은 고딕" w:eastAsia="맑은 고딕" w:hAnsi="맑은 고딕"/>
          <w:b/>
          <w:bCs/>
          <w:sz w:val="18"/>
          <w:szCs w:val="18"/>
        </w:rPr>
        <w:t xml:space="preserve">기대효과.</w:t>
      </w:r>
      <w:r>
        <w:rPr>
          <w:rFonts w:ascii="맑은 고딕" w:cs="맑은 고딕" w:eastAsia="맑은 고딕" w:hAnsi="맑은 고딕"/>
          <w:sz w:val="18"/>
          <w:szCs w:val="18"/>
        </w:rPr>
        <w:t xml:space="preserve"> 보건: 상대적 취약지역 65세 이상 약 30만 6천 명이 잠재 대상이다(실제 수혜는 운영구역·정원에 따라 별도 추정). 안전: 병원 통행을 옮겨 고령운전 노출을 줄인다(사고 감소는 TAAS로 후속 추정). 환경: 가정 조건에서 손익분기 기준으로 운영하면 연천 병원 이동 배출이 0~44% 줄고(연천 대표 조건에서 전환율 40%·전기·승객 6석으로 보호자 2회 왕복을 대체하면 −64%), 고정 기준이나 전환율을 과대 추정한 계획에서는 오히려 는다. 활용: 표 3과 코드는 전환율·차종·차량 대수를 넣으면 출발 기준과 필요 차량을 계산하는 도구로 시범 설계와 다른 농촌 수요응답형 교통에 쓸 수 있다.</w:t>
      </w:r>
    </w:p>
    <w:p>
      <w:pPr>
        <w:spacing w:after="50" w:before="60" w:line="262"/>
        <w:jc w:val="both"/>
      </w:pPr>
      <w:r>
        <w:rPr>
          <w:rFonts w:ascii="맑은 고딕" w:cs="맑은 고딕" w:eastAsia="맑은 고딕" w:hAnsi="맑은 고딕"/>
          <w:b/>
          <w:bCs/>
          <w:sz w:val="17"/>
          <w:szCs w:val="17"/>
        </w:rPr>
        <w:t xml:space="preserve">한계.</w:t>
      </w:r>
      <w:r>
        <w:rPr>
          <w:rFonts w:ascii="맑은 고딕" w:cs="맑은 고딕" w:eastAsia="맑은 고딕" w:hAnsi="맑은 고딕"/>
          <w:sz w:val="17"/>
          <w:szCs w:val="17"/>
        </w:rPr>
        <w:t xml:space="preserve"> 거리는 직선거리 근사, 정류장 밀도는 운행 횟수를 반영하지 못한다. 대리모델은 시뮬레이션을 재현하는 모델이라 가정이 틀리면 예측도 틀린다. 지수·유형은 내부 안정성만 확인했고 실제 미충족 의료와의 독립 검증(지역사회건강조사, 뉴스 텍스트의 언어모델 분류)과 관외 진료 반영은 후속 과제다. 전환율·운행 계수·예약자 비율은 가정이고 경유 승합 배출계수는 대리 차종 값이므로 결과는 "이 조건이면 이렇다"로 읽어야 한다.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7. </w:t>
      </w:r>
      <w:r>
        <w:rPr>
          <w:rFonts w:ascii="맑은 고딕" w:cs="맑은 고딕" w:eastAsia="맑은 고딕" w:hAnsi="맑은 고딕"/>
          <w:b/>
          <w:bCs/>
          <w:color w:val="1F5D3C"/>
          <w:sz w:val="24"/>
          <w:szCs w:val="24"/>
        </w:rPr>
        <w:t xml:space="preserve">분석도구 및 참고문헌</w:t>
      </w:r>
    </w:p>
    <w:p>
      <w:pPr>
        <w:spacing w:after="50" w:before="0" w:line="262"/>
        <w:jc w:val="both"/>
      </w:pPr>
      <w:r>
        <w:rPr>
          <w:rFonts w:ascii="맑은 고딕" w:cs="맑은 고딕" w:eastAsia="맑은 고딕" w:hAnsi="맑은 고딕"/>
          <w:b/>
          <w:bCs/>
          <w:sz w:val="18"/>
          <w:szCs w:val="18"/>
        </w:rPr>
        <w:t xml:space="preserve">분석도구.</w:t>
      </w:r>
      <w:r>
        <w:rPr>
          <w:rFonts w:ascii="맑은 고딕" w:cs="맑은 고딕" w:eastAsia="맑은 고딕" w:hAnsi="맑은 고딕"/>
          <w:sz w:val="18"/>
          <w:szCs w:val="18"/>
        </w:rPr>
        <w:t xml:space="preserve"> Python 3.13 (pandas, geopandas, scikit-learn 1.9, SciPy, matplotlib), 난수 시드는 용도별로 고정했다: 군집·부트스트랩·랜덤포레스트·XGBoost 42, 연천 몬테카를로 11·22·33·44·55, 배출계수 불확실성 추출 7, 15개 시군 시나리오 생성 2026. 코드와 재현 방법: </w:t>
      </w:r>
      <w:r>
        <w:rPr>
          <w:rFonts w:ascii="맑은 고딕" w:cs="맑은 고딕" w:eastAsia="맑은 고딕" w:hAnsi="맑은 고딕"/>
          <w:sz w:val="18"/>
          <w:szCs w:val="18"/>
          <w:highlight w:val="yellow"/>
        </w:rPr>
        <w:t xml:space="preserve">GitHub 저장소 링크 기재</w:t>
      </w:r>
      <w:r>
        <w:rPr>
          <w:rFonts w:ascii="맑은 고딕" w:cs="맑은 고딕" w:eastAsia="맑은 고딕" w:hAnsi="맑은 고딕"/>
          <w:sz w:val="18"/>
          <w:szCs w:val="18"/>
        </w:rPr>
        <w:t xml:space="preserve"> (analysis/src/run_all.py 한 번으로 모든 표·그림 재현)</w:t>
      </w:r>
    </w:p>
    <w:p>
      <w:pPr>
        <w:spacing w:after="30" w:before="0" w:line="262"/>
        <w:jc w:val="left"/>
      </w:pPr>
      <w:r>
        <w:rPr>
          <w:rFonts w:ascii="맑은 고딕" w:cs="맑은 고딕" w:eastAsia="맑은 고딕" w:hAnsi="맑은 고딕"/>
          <w:sz w:val="16"/>
          <w:szCs w:val="16"/>
        </w:rPr>
        <w:t xml:space="preserve">[1] 국민일보(2019.8.29), 「경기도, 고령운전자 면허증 반납 시 ‘지역화폐 10만원’ 지급」 (경기도 발표 인용: 2018년 12월 기준). https://www.kmib.co.kr/article/view.asp?arcid=0013656017</w:t>
      </w:r>
    </w:p>
    <w:p>
      <w:pPr>
        <w:spacing w:after="30" w:before="0" w:line="262"/>
        <w:jc w:val="left"/>
      </w:pPr>
      <w:r>
        <w:rPr>
          <w:rFonts w:ascii="맑은 고딕" w:cs="맑은 고딕" w:eastAsia="맑은 고딕" w:hAnsi="맑은 고딕"/>
          <w:sz w:val="16"/>
          <w:szCs w:val="16"/>
        </w:rPr>
        <w:t xml:space="preserve">[2] 김숙희(2024.12), 「수원시 수요응답형 교통수단(DRT) ‘똑버스’ 운영현황 및 개선방향」, 수원시정연구원 SRI-정책-2024-10, 표 4-11. https://www.suwon.re.kr/board/board.php?bo_table=research_reports&amp;wr_id=534</w:t>
      </w:r>
    </w:p>
    <w:p>
      <w:pPr>
        <w:spacing w:after="30" w:before="0" w:line="262"/>
        <w:jc w:val="left"/>
      </w:pPr>
      <w:r>
        <w:rPr>
          <w:rFonts w:ascii="맑은 고딕" w:cs="맑은 고딕" w:eastAsia="맑은 고딕" w:hAnsi="맑은 고딕"/>
          <w:sz w:val="16"/>
          <w:szCs w:val="16"/>
        </w:rPr>
        <w:t xml:space="preserve">[3] 박재구(2024.8.27), 「경기교통공사 ‘똑버스’ 연천군서 운행 시작」, 국민일보. https://www.kmib.co.kr/article/view.asp?arcid=0020463239</w:t>
      </w:r>
    </w:p>
    <w:p>
      <w:pPr>
        <w:spacing w:after="30" w:before="0" w:line="262"/>
        <w:jc w:val="left"/>
      </w:pPr>
      <w:r>
        <w:rPr>
          <w:rFonts w:ascii="맑은 고딕" w:cs="맑은 고딕" w:eastAsia="맑은 고딕" w:hAnsi="맑은 고딕"/>
          <w:sz w:val="16"/>
          <w:szCs w:val="16"/>
        </w:rPr>
        <w:t xml:space="preserve">[4] 한국교통연구원 KTDB, View Transport 통행지표 설명자료 - 이산화탄소배출량, Version 3.0, 2026.4, 표 2. https://viewt.ktdb.go.kr/cong/pdf/Co2quantity.pdf</w:t>
      </w:r>
    </w:p>
    <w:p>
      <w:pPr>
        <w:spacing w:after="30" w:before="0" w:line="262"/>
        <w:jc w:val="left"/>
      </w:pPr>
      <w:r>
        <w:rPr>
          <w:rFonts w:ascii="맑은 고딕" w:cs="맑은 고딕" w:eastAsia="맑은 고딕" w:hAnsi="맑은 고딕"/>
          <w:sz w:val="16"/>
          <w:szCs w:val="16"/>
        </w:rPr>
        <w:t xml:space="preserve">[5] 한국환경리더스네트워크 KHARN(2025.12.18), 「기후E환경부, 2023 전력배출계수 확정」 (2025.12.17 국가온실가스통계관리위원회 확정, 0.4173 tCO₂eq/MWh). https://www.kharn.kr/mobile/article.html?no=29600</w:t>
      </w:r>
    </w:p>
    <w:p>
      <w:pPr>
        <w:spacing w:after="30" w:before="0" w:line="262"/>
        <w:jc w:val="left"/>
      </w:pPr>
      <w:r>
        <w:rPr>
          <w:rFonts w:ascii="맑은 고딕" w:cs="맑은 고딕" w:eastAsia="맑은 고딕" w:hAnsi="맑은 고딕"/>
          <w:sz w:val="16"/>
          <w:szCs w:val="16"/>
        </w:rPr>
        <w:t xml:space="preserve">[6] 기아, PV5 패신저 2-2-3(7인승) 제원: 정부 인증 전비 복합 4.4·도심 5.1·고속 3.7 km/kWh, 주행거리 355·401·298km. https://www.kia.com/kr/vehicles/pv5-passenger/specification/pv5-passenger-223</w:t>
      </w:r>
    </w:p>
    <w:p>
      <w:pPr>
        <w:spacing w:after="30" w:before="0" w:line="262"/>
        <w:jc w:val="left"/>
      </w:pPr>
      <w:r>
        <w:rPr>
          <w:rFonts w:ascii="맑은 고딕" w:cs="맑은 고딕" w:eastAsia="맑은 고딕" w:hAnsi="맑은 고딕"/>
          <w:sz w:val="16"/>
          <w:szCs w:val="16"/>
        </w:rPr>
        <w:t xml:space="preserve">[7] 국가데이터처, SGIS 행정구역 통계 및 경계 (2025년 2분기 경계, 2024년 통계), 공공데이터포털.</w:t>
      </w:r>
    </w:p>
    <w:p>
      <w:pPr>
        <w:spacing w:after="30" w:before="0" w:line="262"/>
        <w:jc w:val="left"/>
      </w:pPr>
      <w:r>
        <w:rPr>
          <w:rFonts w:ascii="맑은 고딕" w:cs="맑은 고딕" w:eastAsia="맑은 고딕" w:hAnsi="맑은 고딕"/>
          <w:sz w:val="16"/>
          <w:szCs w:val="16"/>
        </w:rPr>
        <w:t xml:space="preserve">[8] 건강보험심사평가원, 전국 병의원 및 약국 현황 (2026년 6월), 보건의료빅데이터개방시스템.</w:t>
      </w:r>
    </w:p>
    <w:p>
      <w:pPr>
        <w:spacing w:after="30" w:before="0" w:line="262"/>
        <w:jc w:val="left"/>
      </w:pPr>
      <w:r>
        <w:rPr>
          <w:rFonts w:ascii="맑은 고딕" w:cs="맑은 고딕" w:eastAsia="맑은 고딕" w:hAnsi="맑은 고딕"/>
          <w:sz w:val="16"/>
          <w:szCs w:val="16"/>
        </w:rPr>
        <w:t xml:space="preserve">[9] 국토교통부, 전국 버스정류장 위치정보 (2025년 10월 31일), 공공데이터포털.</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8. </w:t>
      </w:r>
      <w:r>
        <w:rPr>
          <w:rFonts w:ascii="맑은 고딕" w:cs="맑은 고딕" w:eastAsia="맑은 고딕" w:hAnsi="맑은 고딕"/>
          <w:b/>
          <w:bCs/>
          <w:color w:val="1F5D3C"/>
          <w:sz w:val="24"/>
          <w:szCs w:val="24"/>
        </w:rPr>
        <w:t xml:space="preserve">분석결과 이미지</w:t>
      </w:r>
    </w:p>
    <w:p>
      <w:pPr>
        <w:spacing w:after="50" w:before="0" w:line="262"/>
        <w:jc w:val="both"/>
      </w:pPr>
      <w:r>
        <w:rPr>
          <w:rFonts w:ascii="맑은 고딕" w:cs="맑은 고딕" w:eastAsia="맑은 고딕" w:hAnsi="맑은 고딕"/>
          <w:sz w:val="18"/>
          <w:szCs w:val="18"/>
        </w:rPr>
        <w:t xml:space="preserve">본문 그림 1(상대적 취약도 지도), 그림 2(연천군 조건별 탄소 변화), 그림 3(운영 성과 대리모델 SHAP)에 포함했다. 머신러닝 유형화 검증 그림, 최소 합승 인원 곡선, 비지도 학습 유형 지도, 시군별 취약지역 수, 시나리오 데이터셋과 전체 결과표(t1~t22)는 코드 저장소 analysis/output에 있다.</w:t>
      </w:r>
    </w:p>
    <w:sectPr>
      <w:footerReference w:type="default" r:id="rId6"/>
      <w:pgSz w:w="11906" w:h="16838" w:orient="portrait"/>
      <w:pgMar w:top="1020" w:right="1080" w:bottom="1020" w:left="108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4555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F5D3C"/>
      <w:sz w:val="24"/>
      <w:szCs w:val="24"/>
    </w:rPr>
  </w:style>
  <w:style w:type="paragraph" w:styleId="Heading2">
    <w:name w:val="Heading 2"/>
    <w:basedOn w:val="Normal"/>
    <w:next w:val="Normal"/>
    <w:qFormat/>
    <w:pPr>
      <w:outlineLvl w:val="1"/>
    </w:pPr>
    <w:rPr>
      <w:rFonts w:ascii="맑은 고딕" w:cs="맑은 고딕" w:eastAsia="맑은 고딕" w:hAnsi="맑은 고딕"/>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e494c4b05938c6bef50c4c7a6f4fb443e17785f.png"/><Relationship Id="rId9" Type="http://schemas.openxmlformats.org/officeDocument/2006/relationships/image" Target="media/2829844eb5b833fb35d8e0a8079b4e558dcb965e.png"/><Relationship Id="rId10" Type="http://schemas.openxmlformats.org/officeDocument/2006/relationships/image" Target="media/50dfe3d696809572e78dde587c78ba9badde524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분석보고서</dc:title>
  <dc:creator>[팀명]</dc:creator>
  <cp:lastModifiedBy>Un-named</cp:lastModifiedBy>
  <cp:revision>1</cp:revision>
  <dcterms:created xsi:type="dcterms:W3CDTF">2026-10-06T11:51:21.803Z</dcterms:created>
  <dcterms:modified xsi:type="dcterms:W3CDTF">2026-10-06T11:51:21.804Z</dcterms:modified>
</cp:coreProperties>
</file>

<file path=docProps/custom.xml><?xml version="1.0" encoding="utf-8"?>
<Properties xmlns="http://schemas.openxmlformats.org/officeDocument/2006/custom-properties" xmlns:vt="http://schemas.openxmlformats.org/officeDocument/2006/docPropsVTypes"/>
</file>